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ascii="Times New Roman"/>
        </w:rPr>
        <w:t>ICS</w:t>
      </w:r>
      <w:r>
        <w:rPr>
          <w:rFonts w:hAnsi="黑体"/>
        </w:rP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rPr>
          <w:rFonts w:hint="eastAsia"/>
          <w:lang w:val="en-US"/>
        </w:rPr>
        <w:t>0</w:t>
      </w:r>
      <w:r>
        <w:rPr>
          <w:rFonts w:hint="eastAsia"/>
        </w:rPr>
        <w:t>3.220.20</w:t>
      </w:r>
      <w:r>
        <w:fldChar w:fldCharType="end"/>
      </w:r>
      <w:bookmarkEnd w:id="0"/>
    </w:p>
    <w:p>
      <w:pPr>
        <w:pStyle w:val="124"/>
        <w:framePr/>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lang w:val="en-US" w:eastAsia="zh-CN"/>
        </w:rPr>
        <w:t>R</w:t>
      </w:r>
      <w:r>
        <w:rPr>
          <w:rFonts w:hint="eastAsia"/>
        </w:rPr>
        <w:t xml:space="preserve"> 10</w:t>
      </w:r>
      <w:r>
        <w:fldChar w:fldCharType="end"/>
      </w:r>
      <w:bookmarkEnd w:id="1"/>
    </w:p>
    <w:tbl>
      <w:tblPr>
        <w:tblStyle w:val="35"/>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4" w:type="dxa"/>
            <w:tcBorders>
              <w:top w:val="nil"/>
              <w:left w:val="nil"/>
              <w:bottom w:val="nil"/>
              <w:right w:val="nil"/>
            </w:tcBorders>
          </w:tcPr>
          <w:p>
            <w:pPr>
              <w:pStyle w:val="124"/>
              <w:framePr/>
            </w:pPr>
            <w:r>
              <w:rPr>
                <w:lang w:val="en-US" w:eastAsia="zh-CN"/>
              </w:rPr>
              <w:pict>
                <v:rect id="BAH" o:spid="_x0000_s1039" o:spt="1" style="position:absolute;left:0pt;margin-left:-5.25pt;margin-top:0pt;height:15.6pt;width:68.25pt;z-index:-1024;mso-width-relative:page;mso-height-relative:page;" stroked="f" coordsize="21600,21600">
                  <v:path/>
                  <v:fill focussize="0,0"/>
                  <v:stroke on="f"/>
                  <v:imagedata o:title=""/>
                  <o:lock v:ext="edit"/>
                </v:rect>
              </w:pict>
            </w:r>
          </w:p>
        </w:tc>
      </w:tr>
    </w:tbl>
    <w:p>
      <w:pPr>
        <w:pStyle w:val="98"/>
        <w:framePr w:y="1891"/>
        <w:rPr>
          <w:sz w:val="84"/>
          <w:szCs w:val="84"/>
        </w:rPr>
      </w:pPr>
      <w:r>
        <w:rPr>
          <w:rFonts w:hint="eastAsia"/>
          <w:sz w:val="84"/>
          <w:szCs w:val="84"/>
        </w:rPr>
        <w:t>团体标准</w:t>
      </w:r>
    </w:p>
    <w:p>
      <w:pPr>
        <w:pStyle w:val="157"/>
        <w:framePr/>
        <w:rPr>
          <w:rFonts w:hAnsi="黑体"/>
        </w:rPr>
      </w:pPr>
      <w:r>
        <w:rPr>
          <w:rFonts w:ascii="Times New Roman"/>
        </w:rPr>
        <w:t xml:space="preserve"> </w:t>
      </w:r>
      <w:r>
        <w:rPr>
          <w:rFonts w:hAnsi="黑体"/>
        </w:rPr>
        <w:fldChar w:fldCharType="begin">
          <w:ffData>
            <w:name w:val="StdNo0"/>
            <w:enabled/>
            <w:calcOnExit w:val="0"/>
            <w:textInput>
              <w:default w:val="XX"/>
              <w:maxLength w:val="2"/>
            </w:textInput>
          </w:ffData>
        </w:fldChar>
      </w:r>
      <w:bookmarkStart w:id="2" w:name="StdNo0"/>
      <w:r>
        <w:rPr>
          <w:rFonts w:hAnsi="黑体"/>
        </w:rPr>
        <w:instrText xml:space="preserve"> FORMTEXT </w:instrText>
      </w:r>
      <w:r>
        <w:rPr>
          <w:rFonts w:hAnsi="黑体"/>
        </w:rPr>
        <w:fldChar w:fldCharType="separate"/>
      </w:r>
      <w:r>
        <w:rPr>
          <w:rFonts w:hAnsi="黑体"/>
        </w:rPr>
        <w:t>T</w:t>
      </w:r>
      <w:r>
        <w:rPr>
          <w:rFonts w:hAnsi="黑体"/>
        </w:rPr>
        <w:fldChar w:fldCharType="end"/>
      </w:r>
      <w:bookmarkEnd w:id="2"/>
      <w:r>
        <w:rPr>
          <w:rFonts w:hAnsi="黑体"/>
        </w:rPr>
        <w:t xml:space="preserve">/ </w:t>
      </w:r>
      <w:r>
        <w:rPr>
          <w:rFonts w:hAnsi="黑体"/>
        </w:rPr>
        <w:fldChar w:fldCharType="begin">
          <w:ffData>
            <w:name w:val="StdNo1"/>
            <w:enabled/>
            <w:calcOnExit w:val="0"/>
            <w:textInput>
              <w:default w:val="XXXXX"/>
            </w:textInput>
          </w:ffData>
        </w:fldChar>
      </w:r>
      <w:bookmarkStart w:id="3" w:name="StdNo1"/>
      <w:r>
        <w:rPr>
          <w:rFonts w:hAnsi="黑体"/>
        </w:rPr>
        <w:instrText xml:space="preserve"> FORMTEXT </w:instrText>
      </w:r>
      <w:r>
        <w:rPr>
          <w:rFonts w:hAnsi="黑体"/>
        </w:rPr>
        <w:fldChar w:fldCharType="separate"/>
      </w:r>
      <w:r>
        <w:rPr>
          <w:rFonts w:hAnsi="黑体"/>
        </w:rPr>
        <w:t>JLYS</w:t>
      </w:r>
      <w:r>
        <w:rPr>
          <w:rFonts w:hint="eastAsia" w:hAnsi="黑体"/>
        </w:rPr>
        <w:t>X</w:t>
      </w:r>
      <w:r>
        <w:rPr>
          <w:rFonts w:hAnsi="黑体"/>
        </w:rPr>
        <w:t>H</w:t>
      </w:r>
      <w:r>
        <w:rPr>
          <w:rFonts w:hint="eastAsia" w:hAnsi="黑体"/>
        </w:rPr>
        <w:t xml:space="preserve"> </w:t>
      </w:r>
      <w:r>
        <w:rPr>
          <w:rFonts w:hAnsi="黑体"/>
        </w:rPr>
        <w:t>1.2</w:t>
      </w:r>
      <w:r>
        <w:rPr>
          <w:rFonts w:hAnsi="黑体"/>
        </w:rPr>
        <w:fldChar w:fldCharType="end"/>
      </w:r>
      <w:bookmarkEnd w:id="3"/>
      <w:r>
        <w:rPr>
          <w:rFonts w:hAnsi="黑体"/>
        </w:rPr>
        <w:t>—</w:t>
      </w:r>
      <w:r>
        <w:rPr>
          <w:rFonts w:hAnsi="黑体"/>
        </w:rPr>
        <w:fldChar w:fldCharType="begin">
          <w:ffData>
            <w:name w:val="StdNo2"/>
            <w:enabled/>
            <w:calcOnExit w:val="0"/>
            <w:textInput>
              <w:default w:val="XXXX"/>
              <w:maxLength w:val="4"/>
            </w:textInput>
          </w:ffData>
        </w:fldChar>
      </w:r>
      <w:bookmarkStart w:id="4" w:name="StdNo2"/>
      <w:r>
        <w:rPr>
          <w:rFonts w:hAnsi="黑体"/>
        </w:rPr>
        <w:instrText xml:space="preserve"> FORMTEXT </w:instrText>
      </w:r>
      <w:r>
        <w:rPr>
          <w:rFonts w:hAnsi="黑体"/>
        </w:rPr>
        <w:fldChar w:fldCharType="separate"/>
      </w:r>
      <w:r>
        <w:rPr>
          <w:rFonts w:hAnsi="黑体"/>
        </w:rPr>
        <w:t>2019</w:t>
      </w:r>
      <w:r>
        <w:rPr>
          <w:rFonts w:hAnsi="黑体"/>
        </w:rPr>
        <w:fldChar w:fldCharType="end"/>
      </w:r>
      <w:bookmarkEnd w:id="4"/>
    </w:p>
    <w:tbl>
      <w:tblPr>
        <w:tblStyle w:val="35"/>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tcPr>
          <w:p>
            <w:pPr>
              <w:pStyle w:val="150"/>
              <w:framePr/>
              <w:wordWrap w:val="0"/>
              <w:ind w:right="210"/>
              <w:rPr>
                <w:rFonts w:hint="eastAsia"/>
              </w:rPr>
            </w:pPr>
            <w:r>
              <w:rPr>
                <w:lang w:val="en-US" w:eastAsia="zh-CN"/>
              </w:rPr>
              <w:pict>
                <v:rect id="DT" o:spid="_x0000_s1036" o:spt="1" style="position:absolute;left:0pt;margin-left:372.8pt;margin-top:2.7pt;height:18pt;width:90pt;z-index:-1024;mso-width-relative:page;mso-height-relative:page;" stroked="f" coordsize="21600,21600">
                  <v:path/>
                  <v:fill focussize="0,0"/>
                  <v:stroke on="f"/>
                  <v:imagedata o:title=""/>
                  <o:lock v:ext="edit"/>
                </v:rect>
              </w:pict>
            </w:r>
            <w:r>
              <w:rPr>
                <w:rFonts w:hint="eastAsia"/>
              </w:rPr>
              <w:t xml:space="preserve"> </w:t>
            </w:r>
            <w:r>
              <w:t xml:space="preserve">  </w:t>
            </w:r>
          </w:p>
        </w:tc>
      </w:tr>
    </w:tbl>
    <w:p>
      <w:pPr>
        <w:pStyle w:val="157"/>
        <w:framePr/>
        <w:rPr>
          <w:rFonts w:hAnsi="黑体"/>
        </w:rPr>
      </w:pPr>
    </w:p>
    <w:p>
      <w:pPr>
        <w:pStyle w:val="157"/>
        <w:framePr/>
        <w:rPr>
          <w:rFonts w:hAnsi="黑体"/>
        </w:rPr>
      </w:pPr>
    </w:p>
    <w:p>
      <w:pPr>
        <w:pStyle w:val="68"/>
        <w:framePr/>
        <w:rPr>
          <w:sz w:val="48"/>
          <w:szCs w:val="48"/>
          <w:lang w:val="en-US" w:eastAsia="zh-CN"/>
        </w:rPr>
      </w:pPr>
      <w:r>
        <w:rPr>
          <w:sz w:val="48"/>
          <w:szCs w:val="48"/>
        </w:rPr>
        <w:fldChar w:fldCharType="begin">
          <w:ffData>
            <w:name w:val="StdName"/>
            <w:enabled/>
            <w:calcOnExit w:val="0"/>
            <w:textInput>
              <w:default w:val="点击此处添加标准名称"/>
            </w:textInput>
          </w:ffData>
        </w:fldChar>
      </w:r>
      <w:bookmarkStart w:id="5" w:name="StdName"/>
      <w:r>
        <w:rPr>
          <w:sz w:val="48"/>
          <w:szCs w:val="48"/>
        </w:rPr>
        <w:instrText xml:space="preserve"> FORMTEXT </w:instrText>
      </w:r>
      <w:r>
        <w:rPr>
          <w:sz w:val="48"/>
          <w:szCs w:val="48"/>
        </w:rPr>
        <w:fldChar w:fldCharType="separate"/>
      </w:r>
      <w:r>
        <w:rPr>
          <w:rFonts w:hint="eastAsia"/>
          <w:sz w:val="48"/>
          <w:szCs w:val="48"/>
          <w:lang w:val="en-US" w:eastAsia="zh-CN"/>
        </w:rPr>
        <w:t>道路运输车辆智能视频监控报警系统技术规范</w:t>
      </w:r>
    </w:p>
    <w:p>
      <w:pPr>
        <w:pStyle w:val="68"/>
        <w:framePr/>
      </w:pPr>
      <w:r>
        <w:rPr>
          <w:rFonts w:hint="eastAsia"/>
          <w:sz w:val="48"/>
          <w:szCs w:val="48"/>
          <w:lang w:val="en-US" w:eastAsia="zh-CN"/>
        </w:rPr>
        <w:t>第2部分：终端及测试方法</w:t>
      </w:r>
      <w:r>
        <w:rPr>
          <w:sz w:val="48"/>
          <w:szCs w:val="48"/>
        </w:rPr>
        <w:fldChar w:fldCharType="end"/>
      </w:r>
      <w:bookmarkEnd w:id="5"/>
    </w:p>
    <w:p>
      <w:pPr>
        <w:pStyle w:val="67"/>
        <w:framePr/>
        <w:rPr>
          <w:lang w:val="en-US" w:eastAsia="zh-CN"/>
        </w:rPr>
      </w:pPr>
      <w:r>
        <w:fldChar w:fldCharType="begin">
          <w:ffData>
            <w:name w:val="StdEnglishName"/>
            <w:enabled/>
            <w:calcOnExit w:val="0"/>
            <w:textInput>
              <w:default w:val="点击此处添加标准英文译名"/>
            </w:textInput>
          </w:ffData>
        </w:fldChar>
      </w:r>
      <w:bookmarkStart w:id="6" w:name="StdEnglishName"/>
      <w:r>
        <w:instrText xml:space="preserve"> FORMTEXT </w:instrText>
      </w:r>
      <w:r>
        <w:fldChar w:fldCharType="separate"/>
      </w:r>
      <w:r>
        <w:rPr>
          <w:lang w:val="en-US" w:eastAsia="zh-CN"/>
        </w:rPr>
        <w:t>Technical specification for Intelligent video surveillance and alarm system for road transport vehicle</w:t>
      </w:r>
    </w:p>
    <w:p>
      <w:pPr>
        <w:pStyle w:val="67"/>
        <w:framePr/>
      </w:pPr>
      <w:r>
        <w:rPr>
          <w:lang w:val="en-US" w:eastAsia="zh-CN"/>
        </w:rPr>
        <w:t>Part 2: Terminals and Test Methods</w:t>
      </w:r>
      <w:r>
        <w:fldChar w:fldCharType="end"/>
      </w:r>
      <w:bookmarkEnd w:id="6"/>
    </w:p>
    <w:p>
      <w:pPr>
        <w:pStyle w:val="66"/>
        <w:framePr/>
      </w:pPr>
    </w:p>
    <w:tbl>
      <w:tblPr>
        <w:tblStyle w:val="35"/>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tcPr>
          <w:p>
            <w:pPr>
              <w:pStyle w:val="65"/>
              <w:framePr/>
            </w:pPr>
            <w:r>
              <w:rPr>
                <w:lang w:val="en-US" w:eastAsia="zh-CN"/>
              </w:rPr>
              <w:pict>
                <v:rect id="RQ" o:spid="_x0000_s1038" o:spt="1" style="position:absolute;left:0pt;margin-left:173.3pt;margin-top:45.15pt;height:20pt;width:150pt;z-index:-1024;mso-width-relative:page;mso-height-relative:page;" stroked="f" coordsize="21600,21600">
                  <v:path/>
                  <v:fill focussize="0,0"/>
                  <v:stroke on="f"/>
                  <v:imagedata o:title=""/>
                  <o:lock v:ext="edit"/>
                  <w10:anchorlock/>
                </v:rect>
              </w:pict>
            </w:r>
            <w:r>
              <w:rPr>
                <w:lang w:val="en-US" w:eastAsia="zh-CN"/>
              </w:rPr>
              <w:pict>
                <v:rect id="LB" o:spid="_x0000_s1037" o:spt="1" style="position:absolute;left:0pt;margin-left:193.3pt;margin-top:20.15pt;height:24pt;width:100pt;z-index:-1024;mso-width-relative:page;mso-height-relative:page;" stroked="f" coordsize="21600,21600">
                  <v:path/>
                  <v:fill focussize="0,0"/>
                  <v:stroke on="f"/>
                  <v:imagedata o:title=""/>
                  <o:lock v:ext="edit"/>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tcPr>
          <w:p>
            <w:pPr>
              <w:pStyle w:val="71"/>
              <w:framePr/>
            </w:pPr>
          </w:p>
        </w:tc>
      </w:tr>
    </w:tbl>
    <w:p>
      <w:pPr>
        <w:pStyle w:val="69"/>
        <w:framePr/>
      </w:pPr>
      <w:r>
        <w:rPr>
          <w:rFonts w:ascii="黑体"/>
        </w:rPr>
        <w:fldChar w:fldCharType="begin">
          <w:ffData>
            <w:name w:val="FY"/>
            <w:enabled/>
            <w:calcOnExit w:val="0"/>
            <w:textInput>
              <w:default w:val="XXXX"/>
              <w:maxLength w:val="4"/>
            </w:textInput>
          </w:ffData>
        </w:fldChar>
      </w:r>
      <w:bookmarkStart w:id="7" w:name="FY"/>
      <w:r>
        <w:rPr>
          <w:rFonts w:ascii="黑体"/>
        </w:rPr>
        <w:instrText xml:space="preserve"> FORMTEXT </w:instrText>
      </w:r>
      <w:r>
        <w:rPr>
          <w:rFonts w:ascii="黑体"/>
        </w:rPr>
        <w:fldChar w:fldCharType="separate"/>
      </w:r>
      <w:r>
        <w:rPr>
          <w:rFonts w:ascii="黑体"/>
          <w:lang w:val="en-US" w:eastAsia="zh-CN"/>
        </w:rPr>
        <w:t>2019</w:t>
      </w:r>
      <w:r>
        <w:rPr>
          <w:rFonts w:ascii="黑体"/>
        </w:rPr>
        <w:fldChar w:fldCharType="end"/>
      </w:r>
      <w:bookmarkEnd w:id="7"/>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hint="eastAsia" w:ascii="黑体"/>
          <w:lang w:val="en-US" w:eastAsia="zh-CN"/>
        </w:rPr>
        <w:t>8</w:t>
      </w:r>
      <w:r>
        <w:rPr>
          <w:rFonts w:ascii="黑体"/>
        </w:rPr>
        <w:fldChar w:fldCharType="end"/>
      </w:r>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8" w:name="FD"/>
      <w:r>
        <w:rPr>
          <w:rFonts w:ascii="黑体"/>
        </w:rPr>
        <w:instrText xml:space="preserve"> FORMTEXT </w:instrText>
      </w:r>
      <w:r>
        <w:rPr>
          <w:rFonts w:ascii="黑体"/>
        </w:rPr>
        <w:fldChar w:fldCharType="separate"/>
      </w:r>
      <w:r>
        <w:rPr>
          <w:rFonts w:hint="eastAsia" w:ascii="黑体"/>
        </w:rPr>
        <w:t>27</w:t>
      </w:r>
      <w:r>
        <w:rPr>
          <w:rFonts w:ascii="黑体"/>
        </w:rPr>
        <w:fldChar w:fldCharType="end"/>
      </w:r>
      <w:bookmarkEnd w:id="8"/>
      <w:r>
        <w:rPr>
          <w:rFonts w:hint="eastAsia"/>
        </w:rPr>
        <w:t>发布</w:t>
      </w:r>
      <w:r>
        <w:pict>
          <v:line id="_x0000_s1034" o:spid="_x0000_s1034" o:spt="20" style="position:absolute;left:0pt;margin-left:-0.05pt;margin-top:728.5pt;height:0pt;width:481.9pt;mso-position-vertical-relative:page;z-index:1024;mso-width-relative:page;mso-height-relative:page;" coordsize="21600,21600">
            <v:path arrowok="t"/>
            <v:fill focussize="0,0"/>
            <v:stroke/>
            <v:imagedata o:title=""/>
            <o:lock v:ext="edit"/>
            <w10:anchorlock/>
          </v:line>
        </w:pict>
      </w:r>
    </w:p>
    <w:p>
      <w:pPr>
        <w:pStyle w:val="139"/>
        <w:framePr/>
      </w:pPr>
      <w:r>
        <w:rPr>
          <w:rFonts w:ascii="黑体"/>
        </w:rPr>
        <w:fldChar w:fldCharType="begin">
          <w:ffData>
            <w:name w:val="SY"/>
            <w:enabled/>
            <w:calcOnExit w:val="0"/>
            <w:textInput>
              <w:default w:val="XXXX"/>
              <w:maxLength w:val="4"/>
            </w:textInput>
          </w:ffData>
        </w:fldChar>
      </w:r>
      <w:bookmarkStart w:id="9" w:name="SY"/>
      <w:r>
        <w:rPr>
          <w:rFonts w:ascii="黑体"/>
        </w:rPr>
        <w:instrText xml:space="preserve"> FORMTEXT </w:instrText>
      </w:r>
      <w:r>
        <w:rPr>
          <w:rFonts w:ascii="黑体"/>
        </w:rPr>
        <w:fldChar w:fldCharType="separate"/>
      </w:r>
      <w:r>
        <w:rPr>
          <w:rFonts w:ascii="黑体"/>
          <w:lang w:val="en-US" w:eastAsia="zh-CN"/>
        </w:rPr>
        <w:t>2019</w:t>
      </w:r>
      <w:r>
        <w:rPr>
          <w:rFonts w:ascii="黑体"/>
        </w:rPr>
        <w:fldChar w:fldCharType="end"/>
      </w:r>
      <w:bookmarkEnd w:id="9"/>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10" w:name="SM"/>
      <w:r>
        <w:rPr>
          <w:rFonts w:ascii="黑体"/>
        </w:rPr>
        <w:instrText xml:space="preserve"> FORMTEXT </w:instrText>
      </w:r>
      <w:r>
        <w:rPr>
          <w:rFonts w:ascii="黑体"/>
        </w:rPr>
        <w:fldChar w:fldCharType="separate"/>
      </w:r>
      <w:r>
        <w:rPr>
          <w:rFonts w:hint="eastAsia" w:ascii="黑体"/>
          <w:lang w:val="en-US" w:eastAsia="zh-CN"/>
        </w:rPr>
        <w:t>9</w:t>
      </w:r>
      <w:r>
        <w:rPr>
          <w:rFonts w:ascii="黑体"/>
        </w:rPr>
        <w:fldChar w:fldCharType="end"/>
      </w:r>
      <w:bookmarkEnd w:id="10"/>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11" w:name="SD"/>
      <w:r>
        <w:rPr>
          <w:rFonts w:ascii="黑体"/>
        </w:rPr>
        <w:instrText xml:space="preserve"> FORMTEXT </w:instrText>
      </w:r>
      <w:r>
        <w:rPr>
          <w:rFonts w:ascii="黑体"/>
        </w:rPr>
        <w:fldChar w:fldCharType="separate"/>
      </w:r>
      <w:r>
        <w:rPr>
          <w:rFonts w:hint="eastAsia" w:ascii="黑体"/>
          <w:lang w:val="en-US" w:eastAsia="zh-CN"/>
        </w:rPr>
        <w:t>1</w:t>
      </w:r>
      <w:r>
        <w:rPr>
          <w:rFonts w:ascii="黑体"/>
        </w:rPr>
        <w:fldChar w:fldCharType="end"/>
      </w:r>
      <w:bookmarkEnd w:id="11"/>
      <w:r>
        <w:rPr>
          <w:rFonts w:hint="eastAsia"/>
        </w:rPr>
        <w:t>实施</w:t>
      </w:r>
    </w:p>
    <w:p>
      <w:pPr>
        <w:pStyle w:val="115"/>
        <w:framePr/>
      </w:pPr>
      <w:r>
        <w:fldChar w:fldCharType="begin">
          <w:ffData>
            <w:name w:val="fm"/>
            <w:enabled/>
            <w:calcOnExit w:val="0"/>
            <w:textInput/>
          </w:ffData>
        </w:fldChar>
      </w:r>
      <w:bookmarkStart w:id="12" w:name="fm"/>
      <w:r>
        <w:instrText xml:space="preserve"> FORMTEXT </w:instrText>
      </w:r>
      <w:r>
        <w:fldChar w:fldCharType="separate"/>
      </w:r>
      <w:r>
        <w:rPr>
          <w:rFonts w:hint="eastAsia"/>
          <w:lang w:val="en-US" w:eastAsia="zh-CN"/>
        </w:rPr>
        <w:t>吉林省运输协会</w:t>
      </w:r>
      <w:r>
        <w:fldChar w:fldCharType="end"/>
      </w:r>
      <w:bookmarkEnd w:id="12"/>
      <w:r>
        <w:rPr>
          <w:rFonts w:hAnsi="黑体"/>
        </w:rPr>
        <w:t>   </w:t>
      </w:r>
      <w:r>
        <w:rPr>
          <w:rStyle w:val="53"/>
          <w:rFonts w:hint="eastAsia"/>
        </w:rPr>
        <w:t>发布</w:t>
      </w:r>
    </w:p>
    <w:p>
      <w:pPr>
        <w:pStyle w:val="27"/>
        <w:sectPr>
          <w:headerReference r:id="rId3" w:type="default"/>
          <w:pgSz w:w="11906" w:h="16838"/>
          <w:pgMar w:top="567" w:right="850" w:bottom="1134" w:left="1418" w:header="0" w:footer="0" w:gutter="0"/>
          <w:pgNumType w:start="1"/>
          <w:cols w:space="720" w:num="1"/>
          <w:docGrid w:type="lines" w:linePitch="312" w:charSpace="0"/>
        </w:sectPr>
      </w:pPr>
      <w:r>
        <w:pict>
          <v:line id="_x0000_s1035" o:spid="_x0000_s1035" o:spt="20" style="position:absolute;left:0pt;margin-left:-0.05pt;margin-top:162.5pt;height:0pt;width:481.9pt;z-index:1024;mso-width-relative:page;mso-height-relative:page;" coordsize="21600,21600">
            <v:path arrowok="t"/>
            <v:fill focussize="0,0"/>
            <v:stroke/>
            <v:imagedata o:title=""/>
            <o:lock v:ext="edit"/>
          </v:line>
        </w:pict>
      </w:r>
    </w:p>
    <w:p>
      <w:pPr>
        <w:pStyle w:val="123"/>
        <w:rPr>
          <w:rFonts w:hint="eastAsia"/>
        </w:rPr>
      </w:pPr>
      <w:bookmarkStart w:id="13" w:name="_Toc17565872"/>
      <w:bookmarkStart w:id="14" w:name="_Toc17563769"/>
      <w:bookmarkStart w:id="15" w:name="_Toc17643070"/>
      <w:bookmarkStart w:id="16" w:name="_Toc18102048"/>
      <w:bookmarkStart w:id="17" w:name="_Toc17642921"/>
      <w:bookmarkStart w:id="18" w:name="_Toc17642765"/>
      <w:bookmarkStart w:id="1063" w:name="_GoBack"/>
      <w:bookmarkEnd w:id="1063"/>
      <w:r>
        <w:rPr>
          <w:rFonts w:hint="eastAsia"/>
        </w:rPr>
        <w:t>目</w:t>
      </w:r>
      <w:bookmarkStart w:id="19" w:name="BKML"/>
      <w:r>
        <w:rPr>
          <w:rFonts w:hAnsi="黑体"/>
        </w:rPr>
        <w:t>  </w:t>
      </w:r>
      <w:r>
        <w:rPr>
          <w:rFonts w:hint="eastAsia"/>
        </w:rPr>
        <w:t>次</w:t>
      </w:r>
      <w:bookmarkEnd w:id="19"/>
    </w:p>
    <w:p>
      <w:pPr>
        <w:pStyle w:val="23"/>
        <w:spacing w:before="60" w:after="60"/>
        <w:rPr>
          <w:rFonts w:ascii="Calibri" w:hAnsi="Calibri"/>
          <w:szCs w:val="22"/>
          <w:lang w:val="en-US" w:eastAsia="zh-CN"/>
        </w:rPr>
      </w:pPr>
      <w:r>
        <w:fldChar w:fldCharType="begin" w:fldLock="1"/>
      </w:r>
      <w:r>
        <w:instrText xml:space="preserve"> </w:instrText>
      </w:r>
      <w:r>
        <w:rPr>
          <w:rFonts w:hint="eastAsia"/>
        </w:rPr>
        <w:instrText xml:space="preserve">TOC \h \z \t"前言、引言标题,1,参考文献、索引标题,1,章标题,1,参考文献,1,附录标识,1,一级条标题, 3" \* MERGEFORMAT</w:instrText>
      </w:r>
      <w:r>
        <w:instrText xml:space="preserve"> </w:instrText>
      </w:r>
      <w:r>
        <w:fldChar w:fldCharType="separate"/>
      </w:r>
      <w:r>
        <w:fldChar w:fldCharType="begin"/>
      </w:r>
      <w:r>
        <w:instrText xml:space="preserve"> HYPERLINK \l "_Toc18138013" </w:instrText>
      </w:r>
      <w:r>
        <w:fldChar w:fldCharType="separate"/>
      </w:r>
      <w:r>
        <w:rPr>
          <w:rStyle w:val="42"/>
          <w:rFonts w:hint="eastAsia"/>
        </w:rPr>
        <w:t>前</w:t>
      </w:r>
      <w:r>
        <w:rPr>
          <w:rStyle w:val="42"/>
          <w:rFonts w:hAnsi="黑体"/>
        </w:rPr>
        <w:t>  </w:t>
      </w:r>
      <w:r>
        <w:rPr>
          <w:rStyle w:val="42"/>
          <w:rFonts w:hint="eastAsia"/>
        </w:rPr>
        <w:t>言</w:t>
      </w:r>
      <w:r>
        <w:rPr>
          <w:lang w:val="en-US" w:eastAsia="zh-CN"/>
        </w:rPr>
        <w:tab/>
      </w:r>
      <w:r>
        <w:rPr>
          <w:lang w:val="en-US" w:eastAsia="zh-CN"/>
        </w:rPr>
        <w:fldChar w:fldCharType="begin" w:fldLock="1"/>
      </w:r>
      <w:r>
        <w:rPr>
          <w:lang w:val="en-US" w:eastAsia="zh-CN"/>
        </w:rPr>
        <w:instrText xml:space="preserve"> PAGEREF _Toc18138013 \h </w:instrText>
      </w:r>
      <w:r>
        <w:rPr>
          <w:lang w:val="en-US" w:eastAsia="zh-CN"/>
        </w:rPr>
        <w:fldChar w:fldCharType="separate"/>
      </w:r>
      <w:r>
        <w:rPr>
          <w:lang w:val="en-US" w:eastAsia="zh-CN"/>
        </w:rPr>
        <w:t>III</w:t>
      </w:r>
      <w:r>
        <w:rPr>
          <w:lang w:val="en-US" w:eastAsia="zh-CN"/>
        </w:rPr>
        <w:fldChar w:fldCharType="end"/>
      </w:r>
      <w:r>
        <w:rPr>
          <w:lang w:val="en-US" w:eastAsia="zh-CN"/>
        </w:rPr>
        <w:fldChar w:fldCharType="end"/>
      </w:r>
    </w:p>
    <w:p>
      <w:pPr>
        <w:pStyle w:val="23"/>
        <w:spacing w:before="60" w:after="60"/>
        <w:rPr>
          <w:rFonts w:ascii="Calibri" w:hAnsi="Calibri"/>
          <w:szCs w:val="22"/>
          <w:lang w:val="en-US" w:eastAsia="zh-CN"/>
        </w:rPr>
      </w:pPr>
      <w:r>
        <w:fldChar w:fldCharType="begin"/>
      </w:r>
      <w:r>
        <w:instrText xml:space="preserve"> HYPERLINK \l "_Toc18138014" </w:instrText>
      </w:r>
      <w:r>
        <w:fldChar w:fldCharType="separate"/>
      </w:r>
      <w:r>
        <w:rPr>
          <w:rStyle w:val="42"/>
        </w:rPr>
        <w:t>1</w:t>
      </w:r>
      <w:r>
        <w:rPr>
          <w:rStyle w:val="42"/>
          <w:rFonts w:hint="eastAsia"/>
        </w:rPr>
        <w:t>　范围</w:t>
      </w:r>
      <w:r>
        <w:rPr>
          <w:lang w:val="en-US" w:eastAsia="zh-CN"/>
        </w:rPr>
        <w:tab/>
      </w:r>
      <w:r>
        <w:rPr>
          <w:lang w:val="en-US" w:eastAsia="zh-CN"/>
        </w:rPr>
        <w:fldChar w:fldCharType="begin" w:fldLock="1"/>
      </w:r>
      <w:r>
        <w:rPr>
          <w:lang w:val="en-US" w:eastAsia="zh-CN"/>
        </w:rPr>
        <w:instrText xml:space="preserve"> PAGEREF _Toc18138014 \h </w:instrText>
      </w:r>
      <w:r>
        <w:rPr>
          <w:lang w:val="en-US" w:eastAsia="zh-CN"/>
        </w:rPr>
        <w:fldChar w:fldCharType="separate"/>
      </w:r>
      <w:r>
        <w:rPr>
          <w:lang w:val="en-US" w:eastAsia="zh-CN"/>
        </w:rPr>
        <w:t>1</w:t>
      </w:r>
      <w:r>
        <w:rPr>
          <w:lang w:val="en-US" w:eastAsia="zh-CN"/>
        </w:rPr>
        <w:fldChar w:fldCharType="end"/>
      </w:r>
      <w:r>
        <w:rPr>
          <w:lang w:val="en-US" w:eastAsia="zh-CN"/>
        </w:rPr>
        <w:fldChar w:fldCharType="end"/>
      </w:r>
    </w:p>
    <w:p>
      <w:pPr>
        <w:pStyle w:val="23"/>
        <w:spacing w:before="60" w:after="60"/>
        <w:rPr>
          <w:rFonts w:ascii="Calibri" w:hAnsi="Calibri"/>
          <w:szCs w:val="22"/>
          <w:lang w:val="en-US" w:eastAsia="zh-CN"/>
        </w:rPr>
      </w:pPr>
      <w:r>
        <w:fldChar w:fldCharType="begin"/>
      </w:r>
      <w:r>
        <w:instrText xml:space="preserve"> HYPERLINK \l "_Toc18138015" </w:instrText>
      </w:r>
      <w:r>
        <w:fldChar w:fldCharType="separate"/>
      </w:r>
      <w:r>
        <w:rPr>
          <w:rStyle w:val="42"/>
        </w:rPr>
        <w:t>2</w:t>
      </w:r>
      <w:r>
        <w:rPr>
          <w:rStyle w:val="42"/>
          <w:rFonts w:hint="eastAsia"/>
        </w:rPr>
        <w:t>　规范性引用文件</w:t>
      </w:r>
      <w:r>
        <w:rPr>
          <w:lang w:val="en-US" w:eastAsia="zh-CN"/>
        </w:rPr>
        <w:tab/>
      </w:r>
      <w:r>
        <w:rPr>
          <w:lang w:val="en-US" w:eastAsia="zh-CN"/>
        </w:rPr>
        <w:fldChar w:fldCharType="begin" w:fldLock="1"/>
      </w:r>
      <w:r>
        <w:rPr>
          <w:lang w:val="en-US" w:eastAsia="zh-CN"/>
        </w:rPr>
        <w:instrText xml:space="preserve"> PAGEREF _Toc18138015 \h </w:instrText>
      </w:r>
      <w:r>
        <w:rPr>
          <w:lang w:val="en-US" w:eastAsia="zh-CN"/>
        </w:rPr>
        <w:fldChar w:fldCharType="separate"/>
      </w:r>
      <w:r>
        <w:rPr>
          <w:lang w:val="en-US" w:eastAsia="zh-CN"/>
        </w:rPr>
        <w:t>1</w:t>
      </w:r>
      <w:r>
        <w:rPr>
          <w:lang w:val="en-US" w:eastAsia="zh-CN"/>
        </w:rPr>
        <w:fldChar w:fldCharType="end"/>
      </w:r>
      <w:r>
        <w:rPr>
          <w:lang w:val="en-US" w:eastAsia="zh-CN"/>
        </w:rPr>
        <w:fldChar w:fldCharType="end"/>
      </w:r>
    </w:p>
    <w:p>
      <w:pPr>
        <w:pStyle w:val="23"/>
        <w:spacing w:before="60" w:after="60"/>
        <w:rPr>
          <w:rFonts w:ascii="Calibri" w:hAnsi="Calibri"/>
          <w:szCs w:val="22"/>
          <w:lang w:val="en-US" w:eastAsia="zh-CN"/>
        </w:rPr>
      </w:pPr>
      <w:r>
        <w:fldChar w:fldCharType="begin"/>
      </w:r>
      <w:r>
        <w:instrText xml:space="preserve"> HYPERLINK \l "_Toc18138016" </w:instrText>
      </w:r>
      <w:r>
        <w:fldChar w:fldCharType="separate"/>
      </w:r>
      <w:r>
        <w:rPr>
          <w:rStyle w:val="42"/>
        </w:rPr>
        <w:t>3</w:t>
      </w:r>
      <w:r>
        <w:rPr>
          <w:rStyle w:val="42"/>
          <w:rFonts w:hint="eastAsia"/>
        </w:rPr>
        <w:t>　术语、定义和缩略语</w:t>
      </w:r>
      <w:r>
        <w:rPr>
          <w:lang w:val="en-US" w:eastAsia="zh-CN"/>
        </w:rPr>
        <w:tab/>
      </w:r>
      <w:r>
        <w:rPr>
          <w:lang w:val="en-US" w:eastAsia="zh-CN"/>
        </w:rPr>
        <w:fldChar w:fldCharType="begin" w:fldLock="1"/>
      </w:r>
      <w:r>
        <w:rPr>
          <w:lang w:val="en-US" w:eastAsia="zh-CN"/>
        </w:rPr>
        <w:instrText xml:space="preserve"> PAGEREF _Toc18138016 \h </w:instrText>
      </w:r>
      <w:r>
        <w:rPr>
          <w:lang w:val="en-US" w:eastAsia="zh-CN"/>
        </w:rPr>
        <w:fldChar w:fldCharType="separate"/>
      </w:r>
      <w:r>
        <w:rPr>
          <w:lang w:val="en-US" w:eastAsia="zh-CN"/>
        </w:rPr>
        <w:t>1</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"_Toc18138017" </w:instrText>
      </w:r>
      <w:r>
        <w:fldChar w:fldCharType="separate"/>
      </w:r>
      <w:r>
        <w:rPr>
          <w:rStyle w:val="42"/>
        </w:rPr>
        <w:t>3.1</w:t>
      </w:r>
      <w:r>
        <w:rPr>
          <w:lang w:val="en-US" w:eastAsia="zh-CN"/>
        </w:rPr>
        <w:tab/>
      </w:r>
      <w:r>
        <w:rPr>
          <w:lang w:val="en-US" w:eastAsia="zh-CN"/>
        </w:rPr>
        <w:fldChar w:fldCharType="begin" w:fldLock="1"/>
      </w:r>
      <w:r>
        <w:rPr>
          <w:lang w:val="en-US" w:eastAsia="zh-CN"/>
        </w:rPr>
        <w:instrText xml:space="preserve"> PAGEREF _Toc18138017 \h </w:instrText>
      </w:r>
      <w:r>
        <w:rPr>
          <w:lang w:val="en-US" w:eastAsia="zh-CN"/>
        </w:rPr>
        <w:fldChar w:fldCharType="separate"/>
      </w:r>
      <w:r>
        <w:rPr>
          <w:lang w:val="en-US" w:eastAsia="zh-CN"/>
        </w:rPr>
        <w:t>1</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"_Toc18138018" </w:instrText>
      </w:r>
      <w:r>
        <w:fldChar w:fldCharType="separate"/>
      </w:r>
      <w:r>
        <w:rPr>
          <w:rStyle w:val="42"/>
          <w:rFonts w:hint="eastAsia"/>
        </w:rPr>
        <w:t>终端</w:t>
      </w:r>
      <w:r>
        <w:rPr>
          <w:lang w:val="en-US" w:eastAsia="zh-CN"/>
        </w:rPr>
        <w:tab/>
      </w:r>
      <w:r>
        <w:rPr>
          <w:lang w:val="en-US" w:eastAsia="zh-CN"/>
        </w:rPr>
        <w:fldChar w:fldCharType="begin" w:fldLock="1"/>
      </w:r>
      <w:r>
        <w:rPr>
          <w:lang w:val="en-US" w:eastAsia="zh-CN"/>
        </w:rPr>
        <w:instrText xml:space="preserve"> PAGEREF _Toc18138018 \h </w:instrText>
      </w:r>
      <w:r>
        <w:rPr>
          <w:lang w:val="en-US" w:eastAsia="zh-CN"/>
        </w:rPr>
        <w:fldChar w:fldCharType="separate"/>
      </w:r>
      <w:r>
        <w:rPr>
          <w:lang w:val="en-US" w:eastAsia="zh-CN"/>
        </w:rPr>
        <w:t>1</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"_Toc18138019" </w:instrText>
      </w:r>
      <w:r>
        <w:fldChar w:fldCharType="separate"/>
      </w:r>
      <w:r>
        <w:rPr>
          <w:rStyle w:val="42"/>
        </w:rPr>
        <w:t>3.2</w:t>
      </w:r>
      <w:r>
        <w:rPr>
          <w:lang w:val="en-US" w:eastAsia="zh-CN"/>
        </w:rPr>
        <w:tab/>
      </w:r>
      <w:r>
        <w:rPr>
          <w:lang w:val="en-US" w:eastAsia="zh-CN"/>
        </w:rPr>
        <w:fldChar w:fldCharType="begin" w:fldLock="1"/>
      </w:r>
      <w:r>
        <w:rPr>
          <w:lang w:val="en-US" w:eastAsia="zh-CN"/>
        </w:rPr>
        <w:instrText xml:space="preserve"> PAGEREF _Toc18138019 \h </w:instrText>
      </w:r>
      <w:r>
        <w:rPr>
          <w:lang w:val="en-US" w:eastAsia="zh-CN"/>
        </w:rPr>
        <w:fldChar w:fldCharType="separate"/>
      </w:r>
      <w:r>
        <w:rPr>
          <w:lang w:val="en-US" w:eastAsia="zh-CN"/>
        </w:rPr>
        <w:t>2</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"_Toc18138020" </w:instrText>
      </w:r>
      <w:r>
        <w:fldChar w:fldCharType="separate"/>
      </w:r>
      <w:r>
        <w:rPr>
          <w:rStyle w:val="42"/>
          <w:rFonts w:hint="eastAsia"/>
        </w:rPr>
        <w:t>主存储器</w:t>
      </w:r>
      <w:r>
        <w:rPr>
          <w:lang w:val="en-US" w:eastAsia="zh-CN"/>
        </w:rPr>
        <w:tab/>
      </w:r>
      <w:r>
        <w:rPr>
          <w:lang w:val="en-US" w:eastAsia="zh-CN"/>
        </w:rPr>
        <w:fldChar w:fldCharType="begin" w:fldLock="1"/>
      </w:r>
      <w:r>
        <w:rPr>
          <w:lang w:val="en-US" w:eastAsia="zh-CN"/>
        </w:rPr>
        <w:instrText xml:space="preserve"> PAGEREF _Toc18138020 \h </w:instrText>
      </w:r>
      <w:r>
        <w:rPr>
          <w:lang w:val="en-US" w:eastAsia="zh-CN"/>
        </w:rPr>
        <w:fldChar w:fldCharType="separate"/>
      </w:r>
      <w:r>
        <w:rPr>
          <w:lang w:val="en-US" w:eastAsia="zh-CN"/>
        </w:rPr>
        <w:t>2</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"_Toc18138021" </w:instrText>
      </w:r>
      <w:r>
        <w:fldChar w:fldCharType="separate"/>
      </w:r>
      <w:r>
        <w:rPr>
          <w:rStyle w:val="42"/>
        </w:rPr>
        <w:t>3.3</w:t>
      </w:r>
      <w:r>
        <w:rPr>
          <w:lang w:val="en-US" w:eastAsia="zh-CN"/>
        </w:rPr>
        <w:tab/>
      </w:r>
      <w:r>
        <w:rPr>
          <w:lang w:val="en-US" w:eastAsia="zh-CN"/>
        </w:rPr>
        <w:fldChar w:fldCharType="begin" w:fldLock="1"/>
      </w:r>
      <w:r>
        <w:rPr>
          <w:lang w:val="en-US" w:eastAsia="zh-CN"/>
        </w:rPr>
        <w:instrText xml:space="preserve"> PAGEREF _Toc18138021 \h </w:instrText>
      </w:r>
      <w:r>
        <w:rPr>
          <w:lang w:val="en-US" w:eastAsia="zh-CN"/>
        </w:rPr>
        <w:fldChar w:fldCharType="separate"/>
      </w:r>
      <w:r>
        <w:rPr>
          <w:lang w:val="en-US" w:eastAsia="zh-CN"/>
        </w:rPr>
        <w:t>2</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"_Toc18138022" </w:instrText>
      </w:r>
      <w:r>
        <w:fldChar w:fldCharType="separate"/>
      </w:r>
      <w:r>
        <w:rPr>
          <w:rStyle w:val="42"/>
          <w:rFonts w:hint="eastAsia"/>
        </w:rPr>
        <w:t>备份存储器</w:t>
      </w:r>
      <w:r>
        <w:rPr>
          <w:lang w:val="en-US" w:eastAsia="zh-CN"/>
        </w:rPr>
        <w:tab/>
      </w:r>
      <w:r>
        <w:rPr>
          <w:lang w:val="en-US" w:eastAsia="zh-CN"/>
        </w:rPr>
        <w:fldChar w:fldCharType="begin" w:fldLock="1"/>
      </w:r>
      <w:r>
        <w:rPr>
          <w:lang w:val="en-US" w:eastAsia="zh-CN"/>
        </w:rPr>
        <w:instrText xml:space="preserve"> PAGEREF _Toc18138022 \h </w:instrText>
      </w:r>
      <w:r>
        <w:rPr>
          <w:lang w:val="en-US" w:eastAsia="zh-CN"/>
        </w:rPr>
        <w:fldChar w:fldCharType="separate"/>
      </w:r>
      <w:r>
        <w:rPr>
          <w:lang w:val="en-US" w:eastAsia="zh-CN"/>
        </w:rPr>
        <w:t>2</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"_Toc18138023" </w:instrText>
      </w:r>
      <w:r>
        <w:fldChar w:fldCharType="separate"/>
      </w:r>
      <w:r>
        <w:rPr>
          <w:rStyle w:val="42"/>
        </w:rPr>
        <w:t>3.4</w:t>
      </w:r>
      <w:r>
        <w:rPr>
          <w:lang w:val="en-US" w:eastAsia="zh-CN"/>
        </w:rPr>
        <w:tab/>
      </w:r>
      <w:r>
        <w:rPr>
          <w:lang w:val="en-US" w:eastAsia="zh-CN"/>
        </w:rPr>
        <w:fldChar w:fldCharType="begin" w:fldLock="1"/>
      </w:r>
      <w:r>
        <w:rPr>
          <w:lang w:val="en-US" w:eastAsia="zh-CN"/>
        </w:rPr>
        <w:instrText xml:space="preserve"> PAGEREF _Toc18138023 \h </w:instrText>
      </w:r>
      <w:r>
        <w:rPr>
          <w:lang w:val="en-US" w:eastAsia="zh-CN"/>
        </w:rPr>
        <w:fldChar w:fldCharType="separate"/>
      </w:r>
      <w:r>
        <w:rPr>
          <w:lang w:val="en-US" w:eastAsia="zh-CN"/>
        </w:rPr>
        <w:t>2</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"_Toc18138024" </w:instrText>
      </w:r>
      <w:r>
        <w:fldChar w:fldCharType="separate"/>
      </w:r>
      <w:r>
        <w:rPr>
          <w:rStyle w:val="42"/>
          <w:rFonts w:hint="eastAsia"/>
        </w:rPr>
        <w:t>外部配件</w:t>
      </w:r>
      <w:r>
        <w:rPr>
          <w:lang w:val="en-US" w:eastAsia="zh-CN"/>
        </w:rPr>
        <w:tab/>
      </w:r>
      <w:r>
        <w:rPr>
          <w:lang w:val="en-US" w:eastAsia="zh-CN"/>
        </w:rPr>
        <w:fldChar w:fldCharType="begin" w:fldLock="1"/>
      </w:r>
      <w:r>
        <w:rPr>
          <w:lang w:val="en-US" w:eastAsia="zh-CN"/>
        </w:rPr>
        <w:instrText xml:space="preserve"> PAGEREF _Toc18138024 \h </w:instrText>
      </w:r>
      <w:r>
        <w:rPr>
          <w:lang w:val="en-US" w:eastAsia="zh-CN"/>
        </w:rPr>
        <w:fldChar w:fldCharType="separate"/>
      </w:r>
      <w:r>
        <w:rPr>
          <w:lang w:val="en-US" w:eastAsia="zh-CN"/>
        </w:rPr>
        <w:t>2</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"_Toc18138025" </w:instrText>
      </w:r>
      <w:r>
        <w:fldChar w:fldCharType="separate"/>
      </w:r>
      <w:r>
        <w:rPr>
          <w:rStyle w:val="42"/>
        </w:rPr>
        <w:t>3.5</w:t>
      </w:r>
      <w:r>
        <w:rPr>
          <w:lang w:val="en-US" w:eastAsia="zh-CN"/>
        </w:rPr>
        <w:tab/>
      </w:r>
      <w:r>
        <w:rPr>
          <w:lang w:val="en-US" w:eastAsia="zh-CN"/>
        </w:rPr>
        <w:fldChar w:fldCharType="begin" w:fldLock="1"/>
      </w:r>
      <w:r>
        <w:rPr>
          <w:lang w:val="en-US" w:eastAsia="zh-CN"/>
        </w:rPr>
        <w:instrText xml:space="preserve"> PAGEREF _Toc18138025 \h </w:instrText>
      </w:r>
      <w:r>
        <w:rPr>
          <w:lang w:val="en-US" w:eastAsia="zh-CN"/>
        </w:rPr>
        <w:fldChar w:fldCharType="separate"/>
      </w:r>
      <w:r>
        <w:rPr>
          <w:lang w:val="en-US" w:eastAsia="zh-CN"/>
        </w:rPr>
        <w:t>2</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"_Toc18138026" </w:instrText>
      </w:r>
      <w:r>
        <w:fldChar w:fldCharType="separate"/>
      </w:r>
      <w:r>
        <w:rPr>
          <w:rStyle w:val="42"/>
          <w:rFonts w:hint="eastAsia"/>
        </w:rPr>
        <w:t>误报率</w:t>
      </w:r>
      <w:r>
        <w:rPr>
          <w:lang w:val="en-US" w:eastAsia="zh-CN"/>
        </w:rPr>
        <w:tab/>
      </w:r>
      <w:r>
        <w:rPr>
          <w:lang w:val="en-US" w:eastAsia="zh-CN"/>
        </w:rPr>
        <w:fldChar w:fldCharType="begin" w:fldLock="1"/>
      </w:r>
      <w:r>
        <w:rPr>
          <w:lang w:val="en-US" w:eastAsia="zh-CN"/>
        </w:rPr>
        <w:instrText xml:space="preserve"> PAGEREF _Toc18138026 \h </w:instrText>
      </w:r>
      <w:r>
        <w:rPr>
          <w:lang w:val="en-US" w:eastAsia="zh-CN"/>
        </w:rPr>
        <w:fldChar w:fldCharType="separate"/>
      </w:r>
      <w:r>
        <w:rPr>
          <w:lang w:val="en-US" w:eastAsia="zh-CN"/>
        </w:rPr>
        <w:t>2</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"_Toc18138027" </w:instrText>
      </w:r>
      <w:r>
        <w:fldChar w:fldCharType="separate"/>
      </w:r>
      <w:r>
        <w:rPr>
          <w:rStyle w:val="42"/>
        </w:rPr>
        <w:t>3.6</w:t>
      </w:r>
      <w:r>
        <w:rPr>
          <w:lang w:val="en-US" w:eastAsia="zh-CN"/>
        </w:rPr>
        <w:tab/>
      </w:r>
      <w:r>
        <w:rPr>
          <w:lang w:val="en-US" w:eastAsia="zh-CN"/>
        </w:rPr>
        <w:fldChar w:fldCharType="begin" w:fldLock="1"/>
      </w:r>
      <w:r>
        <w:rPr>
          <w:lang w:val="en-US" w:eastAsia="zh-CN"/>
        </w:rPr>
        <w:instrText xml:space="preserve"> PAGEREF _Toc18138027 \h </w:instrText>
      </w:r>
      <w:r>
        <w:rPr>
          <w:lang w:val="en-US" w:eastAsia="zh-CN"/>
        </w:rPr>
        <w:fldChar w:fldCharType="separate"/>
      </w:r>
      <w:r>
        <w:rPr>
          <w:lang w:val="en-US" w:eastAsia="zh-CN"/>
        </w:rPr>
        <w:t>2</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"_Toc18138028" </w:instrText>
      </w:r>
      <w:r>
        <w:fldChar w:fldCharType="separate"/>
      </w:r>
      <w:r>
        <w:rPr>
          <w:rStyle w:val="42"/>
          <w:rFonts w:hint="eastAsia"/>
        </w:rPr>
        <w:t>漏检率</w:t>
      </w:r>
      <w:r>
        <w:rPr>
          <w:lang w:val="en-US" w:eastAsia="zh-CN"/>
        </w:rPr>
        <w:tab/>
      </w:r>
      <w:r>
        <w:rPr>
          <w:lang w:val="en-US" w:eastAsia="zh-CN"/>
        </w:rPr>
        <w:fldChar w:fldCharType="begin" w:fldLock="1"/>
      </w:r>
      <w:r>
        <w:rPr>
          <w:lang w:val="en-US" w:eastAsia="zh-CN"/>
        </w:rPr>
        <w:instrText xml:space="preserve"> PAGEREF _Toc18138028 \h </w:instrText>
      </w:r>
      <w:r>
        <w:rPr>
          <w:lang w:val="en-US" w:eastAsia="zh-CN"/>
        </w:rPr>
        <w:fldChar w:fldCharType="separate"/>
      </w:r>
      <w:r>
        <w:rPr>
          <w:lang w:val="en-US" w:eastAsia="zh-CN"/>
        </w:rPr>
        <w:t>2</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"_Toc18138029" </w:instrText>
      </w:r>
      <w:r>
        <w:fldChar w:fldCharType="separate"/>
      </w:r>
      <w:r>
        <w:rPr>
          <w:rStyle w:val="42"/>
        </w:rPr>
        <w:t>3.7</w:t>
      </w:r>
      <w:r>
        <w:rPr>
          <w:lang w:val="en-US" w:eastAsia="zh-CN"/>
        </w:rPr>
        <w:tab/>
      </w:r>
      <w:r>
        <w:rPr>
          <w:lang w:val="en-US" w:eastAsia="zh-CN"/>
        </w:rPr>
        <w:fldChar w:fldCharType="begin" w:fldLock="1"/>
      </w:r>
      <w:r>
        <w:rPr>
          <w:lang w:val="en-US" w:eastAsia="zh-CN"/>
        </w:rPr>
        <w:instrText xml:space="preserve"> PAGEREF _Toc18138029 \h </w:instrText>
      </w:r>
      <w:r>
        <w:rPr>
          <w:lang w:val="en-US" w:eastAsia="zh-CN"/>
        </w:rPr>
        <w:fldChar w:fldCharType="separate"/>
      </w:r>
      <w:r>
        <w:rPr>
          <w:lang w:val="en-US" w:eastAsia="zh-CN"/>
        </w:rPr>
        <w:t>2</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"_Toc18138030" </w:instrText>
      </w:r>
      <w:r>
        <w:fldChar w:fldCharType="separate"/>
      </w:r>
      <w:r>
        <w:rPr>
          <w:rStyle w:val="42"/>
          <w:rFonts w:hint="eastAsia"/>
        </w:rPr>
        <w:t>正确报警</w:t>
      </w:r>
      <w:r>
        <w:rPr>
          <w:lang w:val="en-US" w:eastAsia="zh-CN"/>
        </w:rPr>
        <w:tab/>
      </w:r>
      <w:r>
        <w:rPr>
          <w:lang w:val="en-US" w:eastAsia="zh-CN"/>
        </w:rPr>
        <w:fldChar w:fldCharType="begin" w:fldLock="1"/>
      </w:r>
      <w:r>
        <w:rPr>
          <w:lang w:val="en-US" w:eastAsia="zh-CN"/>
        </w:rPr>
        <w:instrText xml:space="preserve"> PAGEREF _Toc18138030 \h </w:instrText>
      </w:r>
      <w:r>
        <w:rPr>
          <w:lang w:val="en-US" w:eastAsia="zh-CN"/>
        </w:rPr>
        <w:fldChar w:fldCharType="separate"/>
      </w:r>
      <w:r>
        <w:rPr>
          <w:lang w:val="en-US" w:eastAsia="zh-CN"/>
        </w:rPr>
        <w:t>2</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"_Toc18138031" </w:instrText>
      </w:r>
      <w:r>
        <w:fldChar w:fldCharType="separate"/>
      </w:r>
      <w:r>
        <w:rPr>
          <w:rStyle w:val="42"/>
        </w:rPr>
        <w:t>3.8</w:t>
      </w:r>
      <w:r>
        <w:rPr>
          <w:lang w:val="en-US" w:eastAsia="zh-CN"/>
        </w:rPr>
        <w:tab/>
      </w:r>
      <w:r>
        <w:rPr>
          <w:lang w:val="en-US" w:eastAsia="zh-CN"/>
        </w:rPr>
        <w:fldChar w:fldCharType="begin" w:fldLock="1"/>
      </w:r>
      <w:r>
        <w:rPr>
          <w:lang w:val="en-US" w:eastAsia="zh-CN"/>
        </w:rPr>
        <w:instrText xml:space="preserve"> PAGEREF _Toc18138031 \h </w:instrText>
      </w:r>
      <w:r>
        <w:rPr>
          <w:lang w:val="en-US" w:eastAsia="zh-CN"/>
        </w:rPr>
        <w:fldChar w:fldCharType="separate"/>
      </w:r>
      <w:r>
        <w:rPr>
          <w:lang w:val="en-US" w:eastAsia="zh-CN"/>
        </w:rPr>
        <w:t>2</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"_Toc18138032" </w:instrText>
      </w:r>
      <w:r>
        <w:fldChar w:fldCharType="separate"/>
      </w:r>
      <w:r>
        <w:rPr>
          <w:rStyle w:val="42"/>
          <w:rFonts w:hint="eastAsia"/>
        </w:rPr>
        <w:t>异常音视频</w:t>
      </w:r>
      <w:r>
        <w:rPr>
          <w:lang w:val="en-US" w:eastAsia="zh-CN"/>
        </w:rPr>
        <w:tab/>
      </w:r>
      <w:r>
        <w:rPr>
          <w:lang w:val="en-US" w:eastAsia="zh-CN"/>
        </w:rPr>
        <w:fldChar w:fldCharType="begin" w:fldLock="1"/>
      </w:r>
      <w:r>
        <w:rPr>
          <w:lang w:val="en-US" w:eastAsia="zh-CN"/>
        </w:rPr>
        <w:instrText xml:space="preserve"> PAGEREF _Toc18138032 \h </w:instrText>
      </w:r>
      <w:r>
        <w:rPr>
          <w:lang w:val="en-US" w:eastAsia="zh-CN"/>
        </w:rPr>
        <w:fldChar w:fldCharType="separate"/>
      </w:r>
      <w:r>
        <w:rPr>
          <w:lang w:val="en-US" w:eastAsia="zh-CN"/>
        </w:rPr>
        <w:t>2</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"_Toc18138033" </w:instrText>
      </w:r>
      <w:r>
        <w:fldChar w:fldCharType="separate"/>
      </w:r>
      <w:r>
        <w:rPr>
          <w:rStyle w:val="42"/>
        </w:rPr>
        <w:t>3.9</w:t>
      </w:r>
      <w:r>
        <w:rPr>
          <w:lang w:val="en-US" w:eastAsia="zh-CN"/>
        </w:rPr>
        <w:tab/>
      </w:r>
      <w:r>
        <w:rPr>
          <w:lang w:val="en-US" w:eastAsia="zh-CN"/>
        </w:rPr>
        <w:fldChar w:fldCharType="begin" w:fldLock="1"/>
      </w:r>
      <w:r>
        <w:rPr>
          <w:lang w:val="en-US" w:eastAsia="zh-CN"/>
        </w:rPr>
        <w:instrText xml:space="preserve"> PAGEREF _Toc18138033 \h </w:instrText>
      </w:r>
      <w:r>
        <w:rPr>
          <w:lang w:val="en-US" w:eastAsia="zh-CN"/>
        </w:rPr>
        <w:fldChar w:fldCharType="separate"/>
      </w:r>
      <w:r>
        <w:rPr>
          <w:lang w:val="en-US" w:eastAsia="zh-CN"/>
        </w:rPr>
        <w:t>2</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"_Toc18138034" </w:instrText>
      </w:r>
      <w:r>
        <w:fldChar w:fldCharType="separate"/>
      </w:r>
      <w:r>
        <w:rPr>
          <w:rStyle w:val="42"/>
          <w:rFonts w:hint="eastAsia"/>
        </w:rPr>
        <w:t>车辆运行监测功能</w:t>
      </w:r>
      <w:r>
        <w:rPr>
          <w:lang w:val="en-US" w:eastAsia="zh-CN"/>
        </w:rPr>
        <w:tab/>
      </w:r>
      <w:r>
        <w:rPr>
          <w:lang w:val="en-US" w:eastAsia="zh-CN"/>
        </w:rPr>
        <w:fldChar w:fldCharType="begin" w:fldLock="1"/>
      </w:r>
      <w:r>
        <w:rPr>
          <w:lang w:val="en-US" w:eastAsia="zh-CN"/>
        </w:rPr>
        <w:instrText xml:space="preserve"> PAGEREF _Toc18138034 \h </w:instrText>
      </w:r>
      <w:r>
        <w:rPr>
          <w:lang w:val="en-US" w:eastAsia="zh-CN"/>
        </w:rPr>
        <w:fldChar w:fldCharType="separate"/>
      </w:r>
      <w:r>
        <w:rPr>
          <w:lang w:val="en-US" w:eastAsia="zh-CN"/>
        </w:rPr>
        <w:t>2</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"_Toc18138035" </w:instrText>
      </w:r>
      <w:r>
        <w:fldChar w:fldCharType="separate"/>
      </w:r>
      <w:r>
        <w:rPr>
          <w:rStyle w:val="42"/>
        </w:rPr>
        <w:t>3.10</w:t>
      </w:r>
      <w:r>
        <w:rPr>
          <w:lang w:val="en-US" w:eastAsia="zh-CN"/>
        </w:rPr>
        <w:tab/>
      </w:r>
      <w:r>
        <w:rPr>
          <w:lang w:val="en-US" w:eastAsia="zh-CN"/>
        </w:rPr>
        <w:fldChar w:fldCharType="begin" w:fldLock="1"/>
      </w:r>
      <w:r>
        <w:rPr>
          <w:lang w:val="en-US" w:eastAsia="zh-CN"/>
        </w:rPr>
        <w:instrText xml:space="preserve"> PAGEREF _Toc18138035 \h </w:instrText>
      </w:r>
      <w:r>
        <w:rPr>
          <w:lang w:val="en-US" w:eastAsia="zh-CN"/>
        </w:rPr>
        <w:fldChar w:fldCharType="separate"/>
      </w:r>
      <w:r>
        <w:rPr>
          <w:lang w:val="en-US" w:eastAsia="zh-CN"/>
        </w:rPr>
        <w:t>2</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"_Toc18138036" </w:instrText>
      </w:r>
      <w:r>
        <w:fldChar w:fldCharType="separate"/>
      </w:r>
      <w:r>
        <w:rPr>
          <w:rStyle w:val="42"/>
          <w:rFonts w:hint="eastAsia"/>
        </w:rPr>
        <w:t>驾驶员驾驶行为监测功能</w:t>
      </w:r>
      <w:r>
        <w:rPr>
          <w:lang w:val="en-US" w:eastAsia="zh-CN"/>
        </w:rPr>
        <w:tab/>
      </w:r>
      <w:r>
        <w:rPr>
          <w:lang w:val="en-US" w:eastAsia="zh-CN"/>
        </w:rPr>
        <w:fldChar w:fldCharType="begin" w:fldLock="1"/>
      </w:r>
      <w:r>
        <w:rPr>
          <w:lang w:val="en-US" w:eastAsia="zh-CN"/>
        </w:rPr>
        <w:instrText xml:space="preserve"> PAGEREF _Toc18138036 \h </w:instrText>
      </w:r>
      <w:r>
        <w:rPr>
          <w:lang w:val="en-US" w:eastAsia="zh-CN"/>
        </w:rPr>
        <w:fldChar w:fldCharType="separate"/>
      </w:r>
      <w:r>
        <w:rPr>
          <w:lang w:val="en-US" w:eastAsia="zh-CN"/>
        </w:rPr>
        <w:t>3</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"_Toc18138037" </w:instrText>
      </w:r>
      <w:r>
        <w:fldChar w:fldCharType="separate"/>
      </w:r>
      <w:r>
        <w:rPr>
          <w:rStyle w:val="42"/>
        </w:rPr>
        <w:t>3.11</w:t>
      </w:r>
      <w:r>
        <w:rPr>
          <w:lang w:val="en-US" w:eastAsia="zh-CN"/>
        </w:rPr>
        <w:tab/>
      </w:r>
      <w:r>
        <w:rPr>
          <w:lang w:val="en-US" w:eastAsia="zh-CN"/>
        </w:rPr>
        <w:fldChar w:fldCharType="begin" w:fldLock="1"/>
      </w:r>
      <w:r>
        <w:rPr>
          <w:lang w:val="en-US" w:eastAsia="zh-CN"/>
        </w:rPr>
        <w:instrText xml:space="preserve"> PAGEREF _Toc18138037 \h </w:instrText>
      </w:r>
      <w:r>
        <w:rPr>
          <w:lang w:val="en-US" w:eastAsia="zh-CN"/>
        </w:rPr>
        <w:fldChar w:fldCharType="separate"/>
      </w:r>
      <w:r>
        <w:rPr>
          <w:lang w:val="en-US" w:eastAsia="zh-CN"/>
        </w:rPr>
        <w:t>3</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"_Toc18138038" </w:instrText>
      </w:r>
      <w:r>
        <w:fldChar w:fldCharType="separate"/>
      </w:r>
      <w:r>
        <w:rPr>
          <w:rStyle w:val="42"/>
          <w:rFonts w:hint="eastAsia"/>
        </w:rPr>
        <w:t>车道偏离</w:t>
      </w:r>
      <w:r>
        <w:rPr>
          <w:lang w:val="en-US" w:eastAsia="zh-CN"/>
        </w:rPr>
        <w:tab/>
      </w:r>
      <w:r>
        <w:rPr>
          <w:lang w:val="en-US" w:eastAsia="zh-CN"/>
        </w:rPr>
        <w:fldChar w:fldCharType="begin" w:fldLock="1"/>
      </w:r>
      <w:r>
        <w:rPr>
          <w:lang w:val="en-US" w:eastAsia="zh-CN"/>
        </w:rPr>
        <w:instrText xml:space="preserve"> PAGEREF _Toc18138038 \h </w:instrText>
      </w:r>
      <w:r>
        <w:rPr>
          <w:lang w:val="en-US" w:eastAsia="zh-CN"/>
        </w:rPr>
        <w:fldChar w:fldCharType="separate"/>
      </w:r>
      <w:r>
        <w:rPr>
          <w:lang w:val="en-US" w:eastAsia="zh-CN"/>
        </w:rPr>
        <w:t>3</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"_Toc18138039" </w:instrText>
      </w:r>
      <w:r>
        <w:fldChar w:fldCharType="separate"/>
      </w:r>
      <w:r>
        <w:rPr>
          <w:rStyle w:val="42"/>
        </w:rPr>
        <w:t>3.12</w:t>
      </w:r>
      <w:r>
        <w:rPr>
          <w:lang w:val="en-US" w:eastAsia="zh-CN"/>
        </w:rPr>
        <w:tab/>
      </w:r>
      <w:r>
        <w:rPr>
          <w:lang w:val="en-US" w:eastAsia="zh-CN"/>
        </w:rPr>
        <w:fldChar w:fldCharType="begin" w:fldLock="1"/>
      </w:r>
      <w:r>
        <w:rPr>
          <w:lang w:val="en-US" w:eastAsia="zh-CN"/>
        </w:rPr>
        <w:instrText xml:space="preserve"> PAGEREF _Toc18138039 \h </w:instrText>
      </w:r>
      <w:r>
        <w:rPr>
          <w:lang w:val="en-US" w:eastAsia="zh-CN"/>
        </w:rPr>
        <w:fldChar w:fldCharType="separate"/>
      </w:r>
      <w:r>
        <w:rPr>
          <w:lang w:val="en-US" w:eastAsia="zh-CN"/>
        </w:rPr>
        <w:t>3</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"_Toc18138040" </w:instrText>
      </w:r>
      <w:r>
        <w:fldChar w:fldCharType="separate"/>
      </w:r>
      <w:r>
        <w:rPr>
          <w:rStyle w:val="42"/>
          <w:rFonts w:hint="eastAsia"/>
        </w:rPr>
        <w:t>碰撞时间</w:t>
      </w:r>
      <w:r>
        <w:rPr>
          <w:lang w:val="en-US" w:eastAsia="zh-CN"/>
        </w:rPr>
        <w:tab/>
      </w:r>
      <w:r>
        <w:rPr>
          <w:lang w:val="en-US" w:eastAsia="zh-CN"/>
        </w:rPr>
        <w:fldChar w:fldCharType="begin" w:fldLock="1"/>
      </w:r>
      <w:r>
        <w:rPr>
          <w:lang w:val="en-US" w:eastAsia="zh-CN"/>
        </w:rPr>
        <w:instrText xml:space="preserve"> PAGEREF _Toc18138040 \h </w:instrText>
      </w:r>
      <w:r>
        <w:rPr>
          <w:lang w:val="en-US" w:eastAsia="zh-CN"/>
        </w:rPr>
        <w:fldChar w:fldCharType="separate"/>
      </w:r>
      <w:r>
        <w:rPr>
          <w:lang w:val="en-US" w:eastAsia="zh-CN"/>
        </w:rPr>
        <w:t>3</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"_Toc18138041" </w:instrText>
      </w:r>
      <w:r>
        <w:fldChar w:fldCharType="separate"/>
      </w:r>
      <w:r>
        <w:rPr>
          <w:rStyle w:val="42"/>
        </w:rPr>
        <w:t>3.13</w:t>
      </w:r>
      <w:r>
        <w:rPr>
          <w:lang w:val="en-US" w:eastAsia="zh-CN"/>
        </w:rPr>
        <w:tab/>
      </w:r>
      <w:r>
        <w:rPr>
          <w:lang w:val="en-US" w:eastAsia="zh-CN"/>
        </w:rPr>
        <w:fldChar w:fldCharType="begin" w:fldLock="1"/>
      </w:r>
      <w:r>
        <w:rPr>
          <w:lang w:val="en-US" w:eastAsia="zh-CN"/>
        </w:rPr>
        <w:instrText xml:space="preserve"> PAGEREF _Toc18138041 \h </w:instrText>
      </w:r>
      <w:r>
        <w:rPr>
          <w:lang w:val="en-US" w:eastAsia="zh-CN"/>
        </w:rPr>
        <w:fldChar w:fldCharType="separate"/>
      </w:r>
      <w:r>
        <w:rPr>
          <w:lang w:val="en-US" w:eastAsia="zh-CN"/>
        </w:rPr>
        <w:t>3</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"_Toc18138042" </w:instrText>
      </w:r>
      <w:r>
        <w:fldChar w:fldCharType="separate"/>
      </w:r>
      <w:r>
        <w:rPr>
          <w:rStyle w:val="42"/>
          <w:rFonts w:hint="eastAsia"/>
        </w:rPr>
        <w:t>疲劳驾驶</w:t>
      </w:r>
      <w:r>
        <w:rPr>
          <w:lang w:val="en-US" w:eastAsia="zh-CN"/>
        </w:rPr>
        <w:tab/>
      </w:r>
      <w:r>
        <w:rPr>
          <w:lang w:val="en-US" w:eastAsia="zh-CN"/>
        </w:rPr>
        <w:fldChar w:fldCharType="begin" w:fldLock="1"/>
      </w:r>
      <w:r>
        <w:rPr>
          <w:lang w:val="en-US" w:eastAsia="zh-CN"/>
        </w:rPr>
        <w:instrText xml:space="preserve"> PAGEREF _Toc18138042 \h </w:instrText>
      </w:r>
      <w:r>
        <w:rPr>
          <w:lang w:val="en-US" w:eastAsia="zh-CN"/>
        </w:rPr>
        <w:fldChar w:fldCharType="separate"/>
      </w:r>
      <w:r>
        <w:rPr>
          <w:lang w:val="en-US" w:eastAsia="zh-CN"/>
        </w:rPr>
        <w:t>3</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"_Toc18138043" </w:instrText>
      </w:r>
      <w:r>
        <w:fldChar w:fldCharType="separate"/>
      </w:r>
      <w:r>
        <w:rPr>
          <w:rStyle w:val="42"/>
        </w:rPr>
        <w:t>3.14</w:t>
      </w:r>
      <w:r>
        <w:rPr>
          <w:lang w:val="en-US" w:eastAsia="zh-CN"/>
        </w:rPr>
        <w:tab/>
      </w:r>
      <w:r>
        <w:rPr>
          <w:lang w:val="en-US" w:eastAsia="zh-CN"/>
        </w:rPr>
        <w:fldChar w:fldCharType="begin" w:fldLock="1"/>
      </w:r>
      <w:r>
        <w:rPr>
          <w:lang w:val="en-US" w:eastAsia="zh-CN"/>
        </w:rPr>
        <w:instrText xml:space="preserve"> PAGEREF _Toc18138043 \h </w:instrText>
      </w:r>
      <w:r>
        <w:rPr>
          <w:lang w:val="en-US" w:eastAsia="zh-CN"/>
        </w:rPr>
        <w:fldChar w:fldCharType="separate"/>
      </w:r>
      <w:r>
        <w:rPr>
          <w:lang w:val="en-US" w:eastAsia="zh-CN"/>
        </w:rPr>
        <w:t>3</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"_Toc18138044" </w:instrText>
      </w:r>
      <w:r>
        <w:fldChar w:fldCharType="separate"/>
      </w:r>
      <w:r>
        <w:rPr>
          <w:rStyle w:val="42"/>
          <w:rFonts w:hint="eastAsia"/>
        </w:rPr>
        <w:t>不目视前方驾驶</w:t>
      </w:r>
      <w:r>
        <w:rPr>
          <w:lang w:val="en-US" w:eastAsia="zh-CN"/>
        </w:rPr>
        <w:tab/>
      </w:r>
      <w:r>
        <w:rPr>
          <w:lang w:val="en-US" w:eastAsia="zh-CN"/>
        </w:rPr>
        <w:fldChar w:fldCharType="begin" w:fldLock="1"/>
      </w:r>
      <w:r>
        <w:rPr>
          <w:lang w:val="en-US" w:eastAsia="zh-CN"/>
        </w:rPr>
        <w:instrText xml:space="preserve"> PAGEREF _Toc18138044 \h </w:instrText>
      </w:r>
      <w:r>
        <w:rPr>
          <w:lang w:val="en-US" w:eastAsia="zh-CN"/>
        </w:rPr>
        <w:fldChar w:fldCharType="separate"/>
      </w:r>
      <w:r>
        <w:rPr>
          <w:lang w:val="en-US" w:eastAsia="zh-CN"/>
        </w:rPr>
        <w:t>3</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"_Toc18138045" </w:instrText>
      </w:r>
      <w:r>
        <w:fldChar w:fldCharType="separate"/>
      </w:r>
      <w:r>
        <w:rPr>
          <w:rStyle w:val="42"/>
        </w:rPr>
        <w:t>3.15</w:t>
      </w:r>
      <w:r>
        <w:rPr>
          <w:lang w:val="en-US" w:eastAsia="zh-CN"/>
        </w:rPr>
        <w:tab/>
      </w:r>
      <w:r>
        <w:rPr>
          <w:lang w:val="en-US" w:eastAsia="zh-CN"/>
        </w:rPr>
        <w:fldChar w:fldCharType="begin" w:fldLock="1"/>
      </w:r>
      <w:r>
        <w:rPr>
          <w:lang w:val="en-US" w:eastAsia="zh-CN"/>
        </w:rPr>
        <w:instrText xml:space="preserve"> PAGEREF _Toc18138045 \h </w:instrText>
      </w:r>
      <w:r>
        <w:rPr>
          <w:lang w:val="en-US" w:eastAsia="zh-CN"/>
        </w:rPr>
        <w:fldChar w:fldCharType="separate"/>
      </w:r>
      <w:r>
        <w:rPr>
          <w:lang w:val="en-US" w:eastAsia="zh-CN"/>
        </w:rPr>
        <w:t>3</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"_Toc18138046" </w:instrText>
      </w:r>
      <w:r>
        <w:fldChar w:fldCharType="separate"/>
      </w:r>
      <w:r>
        <w:rPr>
          <w:rStyle w:val="42"/>
          <w:rFonts w:hint="eastAsia"/>
        </w:rPr>
        <w:t>驾驶员不在位置</w:t>
      </w:r>
      <w:r>
        <w:rPr>
          <w:lang w:val="en-US" w:eastAsia="zh-CN"/>
        </w:rPr>
        <w:tab/>
      </w:r>
      <w:r>
        <w:rPr>
          <w:lang w:val="en-US" w:eastAsia="zh-CN"/>
        </w:rPr>
        <w:fldChar w:fldCharType="begin" w:fldLock="1"/>
      </w:r>
      <w:r>
        <w:rPr>
          <w:lang w:val="en-US" w:eastAsia="zh-CN"/>
        </w:rPr>
        <w:instrText xml:space="preserve"> PAGEREF _Toc18138046 \h </w:instrText>
      </w:r>
      <w:r>
        <w:rPr>
          <w:lang w:val="en-US" w:eastAsia="zh-CN"/>
        </w:rPr>
        <w:fldChar w:fldCharType="separate"/>
      </w:r>
      <w:r>
        <w:rPr>
          <w:lang w:val="en-US" w:eastAsia="zh-CN"/>
        </w:rPr>
        <w:t>3</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"_Toc18138047" </w:instrText>
      </w:r>
      <w:r>
        <w:fldChar w:fldCharType="separate"/>
      </w:r>
      <w:r>
        <w:rPr>
          <w:rStyle w:val="42"/>
        </w:rPr>
        <w:t>3.16</w:t>
      </w:r>
      <w:r>
        <w:rPr>
          <w:lang w:val="en-US" w:eastAsia="zh-CN"/>
        </w:rPr>
        <w:tab/>
      </w:r>
      <w:r>
        <w:rPr>
          <w:lang w:val="en-US" w:eastAsia="zh-CN"/>
        </w:rPr>
        <w:fldChar w:fldCharType="begin" w:fldLock="1"/>
      </w:r>
      <w:r>
        <w:rPr>
          <w:lang w:val="en-US" w:eastAsia="zh-CN"/>
        </w:rPr>
        <w:instrText xml:space="preserve"> PAGEREF _Toc18138047 \h </w:instrText>
      </w:r>
      <w:r>
        <w:rPr>
          <w:lang w:val="en-US" w:eastAsia="zh-CN"/>
        </w:rPr>
        <w:fldChar w:fldCharType="separate"/>
      </w:r>
      <w:r>
        <w:rPr>
          <w:lang w:val="en-US" w:eastAsia="zh-CN"/>
        </w:rPr>
        <w:t>3</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"_Toc18138048" </w:instrText>
      </w:r>
      <w:r>
        <w:fldChar w:fldCharType="separate"/>
      </w:r>
      <w:r>
        <w:rPr>
          <w:rStyle w:val="42"/>
          <w:rFonts w:hint="eastAsia"/>
        </w:rPr>
        <w:t>双手同时脱离方向盘</w:t>
      </w:r>
      <w:r>
        <w:rPr>
          <w:lang w:val="en-US" w:eastAsia="zh-CN"/>
        </w:rPr>
        <w:tab/>
      </w:r>
      <w:r>
        <w:rPr>
          <w:lang w:val="en-US" w:eastAsia="zh-CN"/>
        </w:rPr>
        <w:fldChar w:fldCharType="begin" w:fldLock="1"/>
      </w:r>
      <w:r>
        <w:rPr>
          <w:lang w:val="en-US" w:eastAsia="zh-CN"/>
        </w:rPr>
        <w:instrText xml:space="preserve"> PAGEREF _Toc18138048 \h </w:instrText>
      </w:r>
      <w:r>
        <w:rPr>
          <w:lang w:val="en-US" w:eastAsia="zh-CN"/>
        </w:rPr>
        <w:fldChar w:fldCharType="separate"/>
      </w:r>
      <w:r>
        <w:rPr>
          <w:lang w:val="en-US" w:eastAsia="zh-CN"/>
        </w:rPr>
        <w:t>3</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"_Toc18138049" </w:instrText>
      </w:r>
      <w:r>
        <w:fldChar w:fldCharType="separate"/>
      </w:r>
      <w:r>
        <w:rPr>
          <w:rStyle w:val="42"/>
        </w:rPr>
        <w:t>3.17</w:t>
      </w:r>
      <w:r>
        <w:rPr>
          <w:lang w:val="en-US" w:eastAsia="zh-CN"/>
        </w:rPr>
        <w:tab/>
      </w:r>
      <w:r>
        <w:rPr>
          <w:lang w:val="en-US" w:eastAsia="zh-CN"/>
        </w:rPr>
        <w:fldChar w:fldCharType="begin" w:fldLock="1"/>
      </w:r>
      <w:r>
        <w:rPr>
          <w:lang w:val="en-US" w:eastAsia="zh-CN"/>
        </w:rPr>
        <w:instrText xml:space="preserve"> PAGEREF _Toc18138049 \h </w:instrText>
      </w:r>
      <w:r>
        <w:rPr>
          <w:lang w:val="en-US" w:eastAsia="zh-CN"/>
        </w:rPr>
        <w:fldChar w:fldCharType="separate"/>
      </w:r>
      <w:r>
        <w:rPr>
          <w:lang w:val="en-US" w:eastAsia="zh-CN"/>
        </w:rPr>
        <w:t>3</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"_Toc18138050" </w:instrText>
      </w:r>
      <w:r>
        <w:fldChar w:fldCharType="separate"/>
      </w:r>
      <w:r>
        <w:rPr>
          <w:rStyle w:val="42"/>
          <w:rFonts w:hint="eastAsia"/>
        </w:rPr>
        <w:t>红外阻断型墨镜失效</w:t>
      </w:r>
      <w:r>
        <w:rPr>
          <w:lang w:val="en-US" w:eastAsia="zh-CN"/>
        </w:rPr>
        <w:tab/>
      </w:r>
      <w:r>
        <w:rPr>
          <w:lang w:val="en-US" w:eastAsia="zh-CN"/>
        </w:rPr>
        <w:fldChar w:fldCharType="begin" w:fldLock="1"/>
      </w:r>
      <w:r>
        <w:rPr>
          <w:lang w:val="en-US" w:eastAsia="zh-CN"/>
        </w:rPr>
        <w:instrText xml:space="preserve"> PAGEREF _Toc18138050 \h </w:instrText>
      </w:r>
      <w:r>
        <w:rPr>
          <w:lang w:val="en-US" w:eastAsia="zh-CN"/>
        </w:rPr>
        <w:fldChar w:fldCharType="separate"/>
      </w:r>
      <w:r>
        <w:rPr>
          <w:lang w:val="en-US" w:eastAsia="zh-CN"/>
        </w:rPr>
        <w:t>3</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"_Toc18138051" </w:instrText>
      </w:r>
      <w:r>
        <w:fldChar w:fldCharType="separate"/>
      </w:r>
      <w:r>
        <w:rPr>
          <w:rStyle w:val="42"/>
        </w:rPr>
        <w:t>3.18</w:t>
      </w:r>
      <w:r>
        <w:rPr>
          <w:lang w:val="en-US" w:eastAsia="zh-CN"/>
        </w:rPr>
        <w:tab/>
      </w:r>
      <w:r>
        <w:rPr>
          <w:lang w:val="en-US" w:eastAsia="zh-CN"/>
        </w:rPr>
        <w:fldChar w:fldCharType="begin" w:fldLock="1"/>
      </w:r>
      <w:r>
        <w:rPr>
          <w:lang w:val="en-US" w:eastAsia="zh-CN"/>
        </w:rPr>
        <w:instrText xml:space="preserve"> PAGEREF _Toc18138051 \h </w:instrText>
      </w:r>
      <w:r>
        <w:rPr>
          <w:lang w:val="en-US" w:eastAsia="zh-CN"/>
        </w:rPr>
        <w:fldChar w:fldCharType="separate"/>
      </w:r>
      <w:r>
        <w:rPr>
          <w:lang w:val="en-US" w:eastAsia="zh-CN"/>
        </w:rPr>
        <w:t>3</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"_Toc18138052" </w:instrText>
      </w:r>
      <w:r>
        <w:fldChar w:fldCharType="separate"/>
      </w:r>
      <w:r>
        <w:rPr>
          <w:rStyle w:val="42"/>
          <w:rFonts w:hint="eastAsia"/>
        </w:rPr>
        <w:t>驾驶员驾驶行为监测功能</w:t>
      </w:r>
      <w:r>
        <w:rPr>
          <w:lang w:val="en-US" w:eastAsia="zh-CN"/>
        </w:rPr>
        <w:tab/>
      </w:r>
      <w:r>
        <w:rPr>
          <w:lang w:val="en-US" w:eastAsia="zh-CN"/>
        </w:rPr>
        <w:fldChar w:fldCharType="begin" w:fldLock="1"/>
      </w:r>
      <w:r>
        <w:rPr>
          <w:lang w:val="en-US" w:eastAsia="zh-CN"/>
        </w:rPr>
        <w:instrText xml:space="preserve"> PAGEREF _Toc18138052 \h </w:instrText>
      </w:r>
      <w:r>
        <w:rPr>
          <w:lang w:val="en-US" w:eastAsia="zh-CN"/>
        </w:rPr>
        <w:fldChar w:fldCharType="separate"/>
      </w:r>
      <w:r>
        <w:rPr>
          <w:lang w:val="en-US" w:eastAsia="zh-CN"/>
        </w:rPr>
        <w:t>3</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"_Toc18138053" </w:instrText>
      </w:r>
      <w:r>
        <w:fldChar w:fldCharType="separate"/>
      </w:r>
      <w:r>
        <w:rPr>
          <w:rStyle w:val="42"/>
        </w:rPr>
        <w:t>3.19</w:t>
      </w:r>
      <w:r>
        <w:rPr>
          <w:lang w:val="en-US" w:eastAsia="zh-CN"/>
        </w:rPr>
        <w:tab/>
      </w:r>
      <w:r>
        <w:rPr>
          <w:lang w:val="en-US" w:eastAsia="zh-CN"/>
        </w:rPr>
        <w:fldChar w:fldCharType="begin" w:fldLock="1"/>
      </w:r>
      <w:r>
        <w:rPr>
          <w:lang w:val="en-US" w:eastAsia="zh-CN"/>
        </w:rPr>
        <w:instrText xml:space="preserve"> PAGEREF _Toc18138053 \h </w:instrText>
      </w:r>
      <w:r>
        <w:rPr>
          <w:lang w:val="en-US" w:eastAsia="zh-CN"/>
        </w:rPr>
        <w:fldChar w:fldCharType="separate"/>
      </w:r>
      <w:r>
        <w:rPr>
          <w:lang w:val="en-US" w:eastAsia="zh-CN"/>
        </w:rPr>
        <w:t>4</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"_Toc18138054" </w:instrText>
      </w:r>
      <w:r>
        <w:fldChar w:fldCharType="separate"/>
      </w:r>
      <w:r>
        <w:rPr>
          <w:rStyle w:val="42"/>
          <w:rFonts w:hint="eastAsia"/>
        </w:rPr>
        <w:t>前向碰撞时间</w:t>
      </w:r>
      <w:r>
        <w:rPr>
          <w:lang w:val="en-US" w:eastAsia="zh-CN"/>
        </w:rPr>
        <w:tab/>
      </w:r>
      <w:r>
        <w:rPr>
          <w:lang w:val="en-US" w:eastAsia="zh-CN"/>
        </w:rPr>
        <w:fldChar w:fldCharType="begin" w:fldLock="1"/>
      </w:r>
      <w:r>
        <w:rPr>
          <w:lang w:val="en-US" w:eastAsia="zh-CN"/>
        </w:rPr>
        <w:instrText xml:space="preserve"> PAGEREF _Toc18138054 \h </w:instrText>
      </w:r>
      <w:r>
        <w:rPr>
          <w:lang w:val="en-US" w:eastAsia="zh-CN"/>
        </w:rPr>
        <w:fldChar w:fldCharType="separate"/>
      </w:r>
      <w:r>
        <w:rPr>
          <w:lang w:val="en-US" w:eastAsia="zh-CN"/>
        </w:rPr>
        <w:t>4</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"_Toc18138055" </w:instrText>
      </w:r>
      <w:r>
        <w:fldChar w:fldCharType="separate"/>
      </w:r>
      <w:r>
        <w:rPr>
          <w:rStyle w:val="42"/>
        </w:rPr>
        <w:t>3.20</w:t>
      </w:r>
      <w:r>
        <w:rPr>
          <w:lang w:val="en-US" w:eastAsia="zh-CN"/>
        </w:rPr>
        <w:tab/>
      </w:r>
      <w:r>
        <w:rPr>
          <w:lang w:val="en-US" w:eastAsia="zh-CN"/>
        </w:rPr>
        <w:fldChar w:fldCharType="begin" w:fldLock="1"/>
      </w:r>
      <w:r>
        <w:rPr>
          <w:lang w:val="en-US" w:eastAsia="zh-CN"/>
        </w:rPr>
        <w:instrText xml:space="preserve"> PAGEREF _Toc18138055 \h </w:instrText>
      </w:r>
      <w:r>
        <w:rPr>
          <w:lang w:val="en-US" w:eastAsia="zh-CN"/>
        </w:rPr>
        <w:fldChar w:fldCharType="separate"/>
      </w:r>
      <w:r>
        <w:rPr>
          <w:lang w:val="en-US" w:eastAsia="zh-CN"/>
        </w:rPr>
        <w:t>4</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"_Toc18138056" </w:instrText>
      </w:r>
      <w:r>
        <w:fldChar w:fldCharType="separate"/>
      </w:r>
      <w:r>
        <w:rPr>
          <w:rStyle w:val="42"/>
          <w:rFonts w:hint="eastAsia"/>
        </w:rPr>
        <w:t>车头时距</w:t>
      </w:r>
      <w:r>
        <w:rPr>
          <w:lang w:val="en-US" w:eastAsia="zh-CN"/>
        </w:rPr>
        <w:tab/>
      </w:r>
      <w:r>
        <w:rPr>
          <w:lang w:val="en-US" w:eastAsia="zh-CN"/>
        </w:rPr>
        <w:fldChar w:fldCharType="begin" w:fldLock="1"/>
      </w:r>
      <w:r>
        <w:rPr>
          <w:lang w:val="en-US" w:eastAsia="zh-CN"/>
        </w:rPr>
        <w:instrText xml:space="preserve"> PAGEREF _Toc18138056 \h </w:instrText>
      </w:r>
      <w:r>
        <w:rPr>
          <w:lang w:val="en-US" w:eastAsia="zh-CN"/>
        </w:rPr>
        <w:fldChar w:fldCharType="separate"/>
      </w:r>
      <w:r>
        <w:rPr>
          <w:lang w:val="en-US" w:eastAsia="zh-CN"/>
        </w:rPr>
        <w:t>4</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"_Toc18138057" </w:instrText>
      </w:r>
      <w:r>
        <w:fldChar w:fldCharType="separate"/>
      </w:r>
      <w:r>
        <w:rPr>
          <w:rStyle w:val="42"/>
        </w:rPr>
        <w:t>3.21</w:t>
      </w:r>
      <w:r>
        <w:rPr>
          <w:lang w:val="en-US" w:eastAsia="zh-CN"/>
        </w:rPr>
        <w:tab/>
      </w:r>
      <w:r>
        <w:rPr>
          <w:lang w:val="en-US" w:eastAsia="zh-CN"/>
        </w:rPr>
        <w:fldChar w:fldCharType="begin" w:fldLock="1"/>
      </w:r>
      <w:r>
        <w:rPr>
          <w:lang w:val="en-US" w:eastAsia="zh-CN"/>
        </w:rPr>
        <w:instrText xml:space="preserve"> PAGEREF _Toc18138057 \h </w:instrText>
      </w:r>
      <w:r>
        <w:rPr>
          <w:lang w:val="en-US" w:eastAsia="zh-CN"/>
        </w:rPr>
        <w:fldChar w:fldCharType="separate"/>
      </w:r>
      <w:r>
        <w:rPr>
          <w:lang w:val="en-US" w:eastAsia="zh-CN"/>
        </w:rPr>
        <w:t>4</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"_Toc18138058" </w:instrText>
      </w:r>
      <w:r>
        <w:fldChar w:fldCharType="separate"/>
      </w:r>
      <w:r>
        <w:rPr>
          <w:rStyle w:val="42"/>
          <w:rFonts w:hint="eastAsia"/>
        </w:rPr>
        <w:t>准确率</w:t>
      </w:r>
      <w:r>
        <w:rPr>
          <w:lang w:val="en-US" w:eastAsia="zh-CN"/>
        </w:rPr>
        <w:tab/>
      </w:r>
      <w:r>
        <w:rPr>
          <w:lang w:val="en-US" w:eastAsia="zh-CN"/>
        </w:rPr>
        <w:fldChar w:fldCharType="begin" w:fldLock="1"/>
      </w:r>
      <w:r>
        <w:rPr>
          <w:lang w:val="en-US" w:eastAsia="zh-CN"/>
        </w:rPr>
        <w:instrText xml:space="preserve"> PAGEREF _Toc18138058 \h </w:instrText>
      </w:r>
      <w:r>
        <w:rPr>
          <w:lang w:val="en-US" w:eastAsia="zh-CN"/>
        </w:rPr>
        <w:fldChar w:fldCharType="separate"/>
      </w:r>
      <w:r>
        <w:rPr>
          <w:lang w:val="en-US" w:eastAsia="zh-CN"/>
        </w:rPr>
        <w:t>4</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"_Toc18138059" </w:instrText>
      </w:r>
      <w:r>
        <w:fldChar w:fldCharType="separate"/>
      </w:r>
      <w:r>
        <w:rPr>
          <w:rStyle w:val="42"/>
        </w:rPr>
        <w:t>3.22</w:t>
      </w:r>
      <w:r>
        <w:rPr>
          <w:lang w:val="en-US" w:eastAsia="zh-CN"/>
        </w:rPr>
        <w:tab/>
      </w:r>
      <w:r>
        <w:rPr>
          <w:lang w:val="en-US" w:eastAsia="zh-CN"/>
        </w:rPr>
        <w:fldChar w:fldCharType="begin" w:fldLock="1"/>
      </w:r>
      <w:r>
        <w:rPr>
          <w:lang w:val="en-US" w:eastAsia="zh-CN"/>
        </w:rPr>
        <w:instrText xml:space="preserve"> PAGEREF _Toc18138059 \h </w:instrText>
      </w:r>
      <w:r>
        <w:rPr>
          <w:lang w:val="en-US" w:eastAsia="zh-CN"/>
        </w:rPr>
        <w:fldChar w:fldCharType="separate"/>
      </w:r>
      <w:r>
        <w:rPr>
          <w:lang w:val="en-US" w:eastAsia="zh-CN"/>
        </w:rPr>
        <w:t>4</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"_Toc18138060" </w:instrText>
      </w:r>
      <w:r>
        <w:fldChar w:fldCharType="separate"/>
      </w:r>
      <w:r>
        <w:rPr>
          <w:rStyle w:val="42"/>
          <w:rFonts w:hint="eastAsia"/>
        </w:rPr>
        <w:t>误报率</w:t>
      </w:r>
      <w:r>
        <w:rPr>
          <w:lang w:val="en-US" w:eastAsia="zh-CN"/>
        </w:rPr>
        <w:tab/>
      </w:r>
      <w:r>
        <w:rPr>
          <w:lang w:val="en-US" w:eastAsia="zh-CN"/>
        </w:rPr>
        <w:fldChar w:fldCharType="begin" w:fldLock="1"/>
      </w:r>
      <w:r>
        <w:rPr>
          <w:lang w:val="en-US" w:eastAsia="zh-CN"/>
        </w:rPr>
        <w:instrText xml:space="preserve"> PAGEREF _Toc18138060 \h </w:instrText>
      </w:r>
      <w:r>
        <w:rPr>
          <w:lang w:val="en-US" w:eastAsia="zh-CN"/>
        </w:rPr>
        <w:fldChar w:fldCharType="separate"/>
      </w:r>
      <w:r>
        <w:rPr>
          <w:lang w:val="en-US" w:eastAsia="zh-CN"/>
        </w:rPr>
        <w:t>4</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"_Toc18138061" </w:instrText>
      </w:r>
      <w:r>
        <w:fldChar w:fldCharType="separate"/>
      </w:r>
      <w:r>
        <w:rPr>
          <w:rStyle w:val="42"/>
        </w:rPr>
        <w:t>3.23</w:t>
      </w:r>
      <w:r>
        <w:rPr>
          <w:lang w:val="en-US" w:eastAsia="zh-CN"/>
        </w:rPr>
        <w:tab/>
      </w:r>
      <w:r>
        <w:rPr>
          <w:lang w:val="en-US" w:eastAsia="zh-CN"/>
        </w:rPr>
        <w:fldChar w:fldCharType="begin" w:fldLock="1"/>
      </w:r>
      <w:r>
        <w:rPr>
          <w:lang w:val="en-US" w:eastAsia="zh-CN"/>
        </w:rPr>
        <w:instrText xml:space="preserve"> PAGEREF _Toc18138061 \h </w:instrText>
      </w:r>
      <w:r>
        <w:rPr>
          <w:lang w:val="en-US" w:eastAsia="zh-CN"/>
        </w:rPr>
        <w:fldChar w:fldCharType="separate"/>
      </w:r>
      <w:r>
        <w:rPr>
          <w:lang w:val="en-US" w:eastAsia="zh-CN"/>
        </w:rPr>
        <w:t>5</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"_Toc18138062" </w:instrText>
      </w:r>
      <w:r>
        <w:fldChar w:fldCharType="separate"/>
      </w:r>
      <w:r>
        <w:rPr>
          <w:rStyle w:val="42"/>
          <w:rFonts w:hint="eastAsia"/>
        </w:rPr>
        <w:t>缩略语</w:t>
      </w:r>
      <w:r>
        <w:rPr>
          <w:lang w:val="en-US" w:eastAsia="zh-CN"/>
        </w:rPr>
        <w:tab/>
      </w:r>
      <w:r>
        <w:rPr>
          <w:lang w:val="en-US" w:eastAsia="zh-CN"/>
        </w:rPr>
        <w:fldChar w:fldCharType="begin" w:fldLock="1"/>
      </w:r>
      <w:r>
        <w:rPr>
          <w:lang w:val="en-US" w:eastAsia="zh-CN"/>
        </w:rPr>
        <w:instrText xml:space="preserve"> PAGEREF _Toc18138062 \h </w:instrText>
      </w:r>
      <w:r>
        <w:rPr>
          <w:lang w:val="en-US" w:eastAsia="zh-CN"/>
        </w:rPr>
        <w:fldChar w:fldCharType="separate"/>
      </w:r>
      <w:r>
        <w:rPr>
          <w:lang w:val="en-US" w:eastAsia="zh-CN"/>
        </w:rPr>
        <w:t>5</w:t>
      </w:r>
      <w:r>
        <w:rPr>
          <w:lang w:val="en-US" w:eastAsia="zh-CN"/>
        </w:rPr>
        <w:fldChar w:fldCharType="end"/>
      </w:r>
      <w:r>
        <w:rPr>
          <w:lang w:val="en-US" w:eastAsia="zh-CN"/>
        </w:rPr>
        <w:fldChar w:fldCharType="end"/>
      </w:r>
    </w:p>
    <w:p>
      <w:pPr>
        <w:pStyle w:val="23"/>
        <w:spacing w:before="60" w:after="60"/>
        <w:rPr>
          <w:rFonts w:ascii="Calibri" w:hAnsi="Calibri"/>
          <w:szCs w:val="22"/>
          <w:lang w:val="en-US" w:eastAsia="zh-CN"/>
        </w:rPr>
      </w:pPr>
      <w:r>
        <w:fldChar w:fldCharType="begin"/>
      </w:r>
      <w:r>
        <w:instrText xml:space="preserve"> HYPERLINK \l "_Toc18138063" </w:instrText>
      </w:r>
      <w:r>
        <w:fldChar w:fldCharType="separate"/>
      </w:r>
      <w:r>
        <w:rPr>
          <w:rStyle w:val="42"/>
        </w:rPr>
        <w:t>4</w:t>
      </w:r>
      <w:r>
        <w:rPr>
          <w:rStyle w:val="42"/>
          <w:rFonts w:hint="eastAsia"/>
        </w:rPr>
        <w:t>　一般要求</w:t>
      </w:r>
      <w:r>
        <w:rPr>
          <w:lang w:val="en-US" w:eastAsia="zh-CN"/>
        </w:rPr>
        <w:tab/>
      </w:r>
      <w:r>
        <w:rPr>
          <w:lang w:val="en-US" w:eastAsia="zh-CN"/>
        </w:rPr>
        <w:fldChar w:fldCharType="begin" w:fldLock="1"/>
      </w:r>
      <w:r>
        <w:rPr>
          <w:lang w:val="en-US" w:eastAsia="zh-CN"/>
        </w:rPr>
        <w:instrText xml:space="preserve"> PAGEREF _Toc18138063 \h </w:instrText>
      </w:r>
      <w:r>
        <w:rPr>
          <w:lang w:val="en-US" w:eastAsia="zh-CN"/>
        </w:rPr>
        <w:fldChar w:fldCharType="separate"/>
      </w:r>
      <w:r>
        <w:rPr>
          <w:lang w:val="en-US" w:eastAsia="zh-CN"/>
        </w:rPr>
        <w:t>5</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"_Toc18138064" </w:instrText>
      </w:r>
      <w:r>
        <w:fldChar w:fldCharType="separate"/>
      </w:r>
      <w:r>
        <w:rPr>
          <w:rStyle w:val="42"/>
        </w:rPr>
        <w:t>4.1</w:t>
      </w:r>
      <w:r>
        <w:rPr>
          <w:rStyle w:val="42"/>
          <w:rFonts w:hint="eastAsia"/>
        </w:rPr>
        <w:t>　智能视频监控报警装置组成</w:t>
      </w:r>
      <w:r>
        <w:rPr>
          <w:lang w:val="en-US" w:eastAsia="zh-CN"/>
        </w:rPr>
        <w:tab/>
      </w:r>
      <w:r>
        <w:rPr>
          <w:lang w:val="en-US" w:eastAsia="zh-CN"/>
        </w:rPr>
        <w:fldChar w:fldCharType="begin" w:fldLock="1"/>
      </w:r>
      <w:r>
        <w:rPr>
          <w:lang w:val="en-US" w:eastAsia="zh-CN"/>
        </w:rPr>
        <w:instrText xml:space="preserve"> PAGEREF _Toc18138064 \h </w:instrText>
      </w:r>
      <w:r>
        <w:rPr>
          <w:lang w:val="en-US" w:eastAsia="zh-CN"/>
        </w:rPr>
        <w:fldChar w:fldCharType="separate"/>
      </w:r>
      <w:r>
        <w:rPr>
          <w:lang w:val="en-US" w:eastAsia="zh-CN"/>
        </w:rPr>
        <w:t>5</w:t>
      </w:r>
      <w:r>
        <w:rPr>
          <w:lang w:val="en-US" w:eastAsia="zh-CN"/>
        </w:rPr>
        <w:fldChar w:fldCharType="end"/>
      </w:r>
      <w:r>
        <w:rPr>
          <w:lang w:val="en-US" w:eastAsia="zh-CN"/>
        </w:rPr>
        <w:fldChar w:fldCharType="end"/>
      </w:r>
    </w:p>
    <w:p>
      <w:pPr>
        <w:pStyle w:val="23"/>
        <w:spacing w:before="60" w:after="60"/>
        <w:rPr>
          <w:rFonts w:ascii="Calibri" w:hAnsi="Calibri"/>
          <w:szCs w:val="22"/>
          <w:lang w:val="en-US" w:eastAsia="zh-CN"/>
        </w:rPr>
      </w:pPr>
      <w:r>
        <w:fldChar w:fldCharType="begin"/>
      </w:r>
      <w:r>
        <w:instrText xml:space="preserve"> HYPERLINK \l "_Toc18138065" </w:instrText>
      </w:r>
      <w:r>
        <w:fldChar w:fldCharType="separate"/>
      </w:r>
      <w:r>
        <w:rPr>
          <w:rStyle w:val="42"/>
        </w:rPr>
        <w:t>5</w:t>
      </w:r>
      <w:r>
        <w:rPr>
          <w:rStyle w:val="42"/>
          <w:rFonts w:hint="eastAsia"/>
        </w:rPr>
        <w:t>　功能要求</w:t>
      </w:r>
      <w:r>
        <w:rPr>
          <w:lang w:val="en-US" w:eastAsia="zh-CN"/>
        </w:rPr>
        <w:tab/>
      </w:r>
      <w:r>
        <w:rPr>
          <w:lang w:val="en-US" w:eastAsia="zh-CN"/>
        </w:rPr>
        <w:fldChar w:fldCharType="begin" w:fldLock="1"/>
      </w:r>
      <w:r>
        <w:rPr>
          <w:lang w:val="en-US" w:eastAsia="zh-CN"/>
        </w:rPr>
        <w:instrText xml:space="preserve"> PAGEREF _Toc18138065 \h </w:instrText>
      </w:r>
      <w:r>
        <w:rPr>
          <w:lang w:val="en-US" w:eastAsia="zh-CN"/>
        </w:rPr>
        <w:fldChar w:fldCharType="separate"/>
      </w:r>
      <w:r>
        <w:rPr>
          <w:lang w:val="en-US" w:eastAsia="zh-CN"/>
        </w:rPr>
        <w:t>6</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"_Toc18138066" </w:instrText>
      </w:r>
      <w:r>
        <w:fldChar w:fldCharType="separate"/>
      </w:r>
      <w:r>
        <w:rPr>
          <w:rStyle w:val="42"/>
        </w:rPr>
        <w:t>5.1</w:t>
      </w:r>
      <w:r>
        <w:rPr>
          <w:rStyle w:val="42"/>
          <w:rFonts w:hint="eastAsia"/>
        </w:rPr>
        <w:t>　车辆运行监测功能</w:t>
      </w:r>
      <w:r>
        <w:rPr>
          <w:lang w:val="en-US" w:eastAsia="zh-CN"/>
        </w:rPr>
        <w:tab/>
      </w:r>
      <w:r>
        <w:rPr>
          <w:lang w:val="en-US" w:eastAsia="zh-CN"/>
        </w:rPr>
        <w:fldChar w:fldCharType="begin" w:fldLock="1"/>
      </w:r>
      <w:r>
        <w:rPr>
          <w:lang w:val="en-US" w:eastAsia="zh-CN"/>
        </w:rPr>
        <w:instrText xml:space="preserve"> PAGEREF _Toc18138066 \h </w:instrText>
      </w:r>
      <w:r>
        <w:rPr>
          <w:lang w:val="en-US" w:eastAsia="zh-CN"/>
        </w:rPr>
        <w:fldChar w:fldCharType="separate"/>
      </w:r>
      <w:r>
        <w:rPr>
          <w:lang w:val="en-US" w:eastAsia="zh-CN"/>
        </w:rPr>
        <w:t>6</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"_Toc18138067" </w:instrText>
      </w:r>
      <w:r>
        <w:fldChar w:fldCharType="separate"/>
      </w:r>
      <w:r>
        <w:rPr>
          <w:rStyle w:val="42"/>
        </w:rPr>
        <w:t>5.2</w:t>
      </w:r>
      <w:r>
        <w:rPr>
          <w:rStyle w:val="42"/>
          <w:rFonts w:hint="eastAsia"/>
        </w:rPr>
        <w:t>　驾驶员驾驶行为监测系统</w:t>
      </w:r>
      <w:r>
        <w:rPr>
          <w:lang w:val="en-US" w:eastAsia="zh-CN"/>
        </w:rPr>
        <w:tab/>
      </w:r>
      <w:r>
        <w:rPr>
          <w:lang w:val="en-US" w:eastAsia="zh-CN"/>
        </w:rPr>
        <w:fldChar w:fldCharType="begin" w:fldLock="1"/>
      </w:r>
      <w:r>
        <w:rPr>
          <w:lang w:val="en-US" w:eastAsia="zh-CN"/>
        </w:rPr>
        <w:instrText xml:space="preserve"> PAGEREF _Toc18138067 \h </w:instrText>
      </w:r>
      <w:r>
        <w:rPr>
          <w:lang w:val="en-US" w:eastAsia="zh-CN"/>
        </w:rPr>
        <w:fldChar w:fldCharType="separate"/>
      </w:r>
      <w:r>
        <w:rPr>
          <w:lang w:val="en-US" w:eastAsia="zh-CN"/>
        </w:rPr>
        <w:t>8</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"_Toc18138068" </w:instrText>
      </w:r>
      <w:r>
        <w:fldChar w:fldCharType="separate"/>
      </w:r>
      <w:r>
        <w:rPr>
          <w:rStyle w:val="42"/>
        </w:rPr>
        <w:t>5.3</w:t>
      </w:r>
      <w:r>
        <w:rPr>
          <w:rStyle w:val="42"/>
          <w:rFonts w:hint="eastAsia"/>
        </w:rPr>
        <w:t>　其他功能（选配）</w:t>
      </w:r>
      <w:r>
        <w:rPr>
          <w:lang w:val="en-US" w:eastAsia="zh-CN"/>
        </w:rPr>
        <w:tab/>
      </w:r>
      <w:r>
        <w:rPr>
          <w:lang w:val="en-US" w:eastAsia="zh-CN"/>
        </w:rPr>
        <w:fldChar w:fldCharType="begin" w:fldLock="1"/>
      </w:r>
      <w:r>
        <w:rPr>
          <w:lang w:val="en-US" w:eastAsia="zh-CN"/>
        </w:rPr>
        <w:instrText xml:space="preserve"> PAGEREF _Toc18138068 \h </w:instrText>
      </w:r>
      <w:r>
        <w:rPr>
          <w:lang w:val="en-US" w:eastAsia="zh-CN"/>
        </w:rPr>
        <w:fldChar w:fldCharType="separate"/>
      </w:r>
      <w:r>
        <w:rPr>
          <w:lang w:val="en-US" w:eastAsia="zh-CN"/>
        </w:rPr>
        <w:t>11</w:t>
      </w:r>
      <w:r>
        <w:rPr>
          <w:lang w:val="en-US" w:eastAsia="zh-CN"/>
        </w:rPr>
        <w:fldChar w:fldCharType="end"/>
      </w:r>
      <w:r>
        <w:rPr>
          <w:lang w:val="en-US" w:eastAsia="zh-CN"/>
        </w:rPr>
        <w:fldChar w:fldCharType="end"/>
      </w:r>
    </w:p>
    <w:p>
      <w:pPr>
        <w:pStyle w:val="23"/>
        <w:spacing w:before="60" w:after="60"/>
        <w:rPr>
          <w:rFonts w:ascii="Calibri" w:hAnsi="Calibri"/>
          <w:szCs w:val="22"/>
          <w:lang w:val="en-US" w:eastAsia="zh-CN"/>
        </w:rPr>
      </w:pPr>
      <w:r>
        <w:fldChar w:fldCharType="begin"/>
      </w:r>
      <w:r>
        <w:instrText xml:space="preserve"> HYPERLINK \l "_Toc18138069" </w:instrText>
      </w:r>
      <w:r>
        <w:fldChar w:fldCharType="separate"/>
      </w:r>
      <w:r>
        <w:rPr>
          <w:rStyle w:val="42"/>
        </w:rPr>
        <w:t>6</w:t>
      </w:r>
      <w:r>
        <w:rPr>
          <w:rStyle w:val="42"/>
          <w:rFonts w:hint="eastAsia"/>
        </w:rPr>
        <w:t>　性能要求</w:t>
      </w:r>
      <w:r>
        <w:rPr>
          <w:lang w:val="en-US" w:eastAsia="zh-CN"/>
        </w:rPr>
        <w:tab/>
      </w:r>
      <w:r>
        <w:rPr>
          <w:lang w:val="en-US" w:eastAsia="zh-CN"/>
        </w:rPr>
        <w:fldChar w:fldCharType="begin" w:fldLock="1"/>
      </w:r>
      <w:r>
        <w:rPr>
          <w:lang w:val="en-US" w:eastAsia="zh-CN"/>
        </w:rPr>
        <w:instrText xml:space="preserve"> PAGEREF _Toc18138069 \h </w:instrText>
      </w:r>
      <w:r>
        <w:rPr>
          <w:lang w:val="en-US" w:eastAsia="zh-CN"/>
        </w:rPr>
        <w:fldChar w:fldCharType="separate"/>
      </w:r>
      <w:r>
        <w:rPr>
          <w:lang w:val="en-US" w:eastAsia="zh-CN"/>
        </w:rPr>
        <w:t>14</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"_Toc18138070" </w:instrText>
      </w:r>
      <w:r>
        <w:fldChar w:fldCharType="separate"/>
      </w:r>
      <w:r>
        <w:rPr>
          <w:rStyle w:val="42"/>
        </w:rPr>
        <w:t>6.1</w:t>
      </w:r>
      <w:r>
        <w:rPr>
          <w:rStyle w:val="42"/>
          <w:rFonts w:hint="eastAsia"/>
        </w:rPr>
        <w:t>　电气性能要求</w:t>
      </w:r>
      <w:r>
        <w:rPr>
          <w:lang w:val="en-US" w:eastAsia="zh-CN"/>
        </w:rPr>
        <w:tab/>
      </w:r>
      <w:r>
        <w:rPr>
          <w:lang w:val="en-US" w:eastAsia="zh-CN"/>
        </w:rPr>
        <w:fldChar w:fldCharType="begin" w:fldLock="1"/>
      </w:r>
      <w:r>
        <w:rPr>
          <w:lang w:val="en-US" w:eastAsia="zh-CN"/>
        </w:rPr>
        <w:instrText xml:space="preserve"> PAGEREF _Toc18138070 \h </w:instrText>
      </w:r>
      <w:r>
        <w:rPr>
          <w:lang w:val="en-US" w:eastAsia="zh-CN"/>
        </w:rPr>
        <w:fldChar w:fldCharType="separate"/>
      </w:r>
      <w:r>
        <w:rPr>
          <w:lang w:val="en-US" w:eastAsia="zh-CN"/>
        </w:rPr>
        <w:t>14</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"_Toc18138071" </w:instrText>
      </w:r>
      <w:r>
        <w:fldChar w:fldCharType="separate"/>
      </w:r>
      <w:r>
        <w:rPr>
          <w:rStyle w:val="42"/>
        </w:rPr>
        <w:t>6.2</w:t>
      </w:r>
      <w:r>
        <w:rPr>
          <w:rStyle w:val="42"/>
          <w:rFonts w:hint="eastAsia"/>
        </w:rPr>
        <w:t>　环境适应性要求</w:t>
      </w:r>
      <w:r>
        <w:rPr>
          <w:lang w:val="en-US" w:eastAsia="zh-CN"/>
        </w:rPr>
        <w:tab/>
      </w:r>
      <w:r>
        <w:rPr>
          <w:lang w:val="en-US" w:eastAsia="zh-CN"/>
        </w:rPr>
        <w:fldChar w:fldCharType="begin" w:fldLock="1"/>
      </w:r>
      <w:r>
        <w:rPr>
          <w:lang w:val="en-US" w:eastAsia="zh-CN"/>
        </w:rPr>
        <w:instrText xml:space="preserve"> PAGEREF _Toc18138071 \h </w:instrText>
      </w:r>
      <w:r>
        <w:rPr>
          <w:lang w:val="en-US" w:eastAsia="zh-CN"/>
        </w:rPr>
        <w:fldChar w:fldCharType="separate"/>
      </w:r>
      <w:r>
        <w:rPr>
          <w:lang w:val="en-US" w:eastAsia="zh-CN"/>
        </w:rPr>
        <w:t>14</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"_Toc18138072" </w:instrText>
      </w:r>
      <w:r>
        <w:fldChar w:fldCharType="separate"/>
      </w:r>
      <w:r>
        <w:rPr>
          <w:rStyle w:val="42"/>
        </w:rPr>
        <w:t>6.3</w:t>
      </w:r>
      <w:r>
        <w:rPr>
          <w:rStyle w:val="42"/>
          <w:rFonts w:hint="eastAsia"/>
        </w:rPr>
        <w:t>　电磁兼容性能要求</w:t>
      </w:r>
      <w:r>
        <w:rPr>
          <w:lang w:val="en-US" w:eastAsia="zh-CN"/>
        </w:rPr>
        <w:tab/>
      </w:r>
      <w:r>
        <w:rPr>
          <w:lang w:val="en-US" w:eastAsia="zh-CN"/>
        </w:rPr>
        <w:fldChar w:fldCharType="begin" w:fldLock="1"/>
      </w:r>
      <w:r>
        <w:rPr>
          <w:lang w:val="en-US" w:eastAsia="zh-CN"/>
        </w:rPr>
        <w:instrText xml:space="preserve"> PAGEREF _Toc18138072 \h </w:instrText>
      </w:r>
      <w:r>
        <w:rPr>
          <w:lang w:val="en-US" w:eastAsia="zh-CN"/>
        </w:rPr>
        <w:fldChar w:fldCharType="separate"/>
      </w:r>
      <w:r>
        <w:rPr>
          <w:lang w:val="en-US" w:eastAsia="zh-CN"/>
        </w:rPr>
        <w:t>14</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"_Toc18138073" </w:instrText>
      </w:r>
      <w:r>
        <w:fldChar w:fldCharType="separate"/>
      </w:r>
      <w:r>
        <w:rPr>
          <w:rStyle w:val="42"/>
        </w:rPr>
        <w:t>6.4</w:t>
      </w:r>
      <w:r>
        <w:rPr>
          <w:rStyle w:val="42"/>
          <w:rFonts w:hint="eastAsia"/>
        </w:rPr>
        <w:t>　无线通信模块</w:t>
      </w:r>
      <w:r>
        <w:rPr>
          <w:lang w:val="en-US" w:eastAsia="zh-CN"/>
        </w:rPr>
        <w:tab/>
      </w:r>
      <w:r>
        <w:rPr>
          <w:lang w:val="en-US" w:eastAsia="zh-CN"/>
        </w:rPr>
        <w:fldChar w:fldCharType="begin" w:fldLock="1"/>
      </w:r>
      <w:r>
        <w:rPr>
          <w:lang w:val="en-US" w:eastAsia="zh-CN"/>
        </w:rPr>
        <w:instrText xml:space="preserve"> PAGEREF _Toc18138073 \h </w:instrText>
      </w:r>
      <w:r>
        <w:rPr>
          <w:lang w:val="en-US" w:eastAsia="zh-CN"/>
        </w:rPr>
        <w:fldChar w:fldCharType="separate"/>
      </w:r>
      <w:r>
        <w:rPr>
          <w:lang w:val="en-US" w:eastAsia="zh-CN"/>
        </w:rPr>
        <w:t>14</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"_Toc18138074" </w:instrText>
      </w:r>
      <w:r>
        <w:fldChar w:fldCharType="separate"/>
      </w:r>
      <w:r>
        <w:rPr>
          <w:rStyle w:val="42"/>
        </w:rPr>
        <w:t>6.5</w:t>
      </w:r>
      <w:r>
        <w:rPr>
          <w:rStyle w:val="42"/>
          <w:rFonts w:hint="eastAsia"/>
        </w:rPr>
        <w:t>　电源输出</w:t>
      </w:r>
      <w:r>
        <w:rPr>
          <w:lang w:val="en-US" w:eastAsia="zh-CN"/>
        </w:rPr>
        <w:tab/>
      </w:r>
      <w:r>
        <w:rPr>
          <w:lang w:val="en-US" w:eastAsia="zh-CN"/>
        </w:rPr>
        <w:fldChar w:fldCharType="begin" w:fldLock="1"/>
      </w:r>
      <w:r>
        <w:rPr>
          <w:lang w:val="en-US" w:eastAsia="zh-CN"/>
        </w:rPr>
        <w:instrText xml:space="preserve"> PAGEREF _Toc18138074 \h </w:instrText>
      </w:r>
      <w:r>
        <w:rPr>
          <w:lang w:val="en-US" w:eastAsia="zh-CN"/>
        </w:rPr>
        <w:fldChar w:fldCharType="separate"/>
      </w:r>
      <w:r>
        <w:rPr>
          <w:lang w:val="en-US" w:eastAsia="zh-CN"/>
        </w:rPr>
        <w:t>14</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"_Toc18138075" </w:instrText>
      </w:r>
      <w:r>
        <w:fldChar w:fldCharType="separate"/>
      </w:r>
      <w:r>
        <w:rPr>
          <w:rStyle w:val="42"/>
        </w:rPr>
        <w:t>6.6</w:t>
      </w:r>
      <w:r>
        <w:rPr>
          <w:rStyle w:val="42"/>
          <w:rFonts w:hint="eastAsia"/>
        </w:rPr>
        <w:t>　电气性能</w:t>
      </w:r>
      <w:r>
        <w:rPr>
          <w:lang w:val="en-US" w:eastAsia="zh-CN"/>
        </w:rPr>
        <w:tab/>
      </w:r>
      <w:r>
        <w:rPr>
          <w:lang w:val="en-US" w:eastAsia="zh-CN"/>
        </w:rPr>
        <w:fldChar w:fldCharType="begin" w:fldLock="1"/>
      </w:r>
      <w:r>
        <w:rPr>
          <w:lang w:val="en-US" w:eastAsia="zh-CN"/>
        </w:rPr>
        <w:instrText xml:space="preserve"> PAGEREF _Toc18138075 \h </w:instrText>
      </w:r>
      <w:r>
        <w:rPr>
          <w:lang w:val="en-US" w:eastAsia="zh-CN"/>
        </w:rPr>
        <w:fldChar w:fldCharType="separate"/>
      </w:r>
      <w:r>
        <w:rPr>
          <w:lang w:val="en-US" w:eastAsia="zh-CN"/>
        </w:rPr>
        <w:t>14</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"_Toc18138076" </w:instrText>
      </w:r>
      <w:r>
        <w:fldChar w:fldCharType="separate"/>
      </w:r>
      <w:r>
        <w:rPr>
          <w:rStyle w:val="42"/>
        </w:rPr>
        <w:t>6.7</w:t>
      </w:r>
      <w:r>
        <w:rPr>
          <w:rStyle w:val="42"/>
          <w:rFonts w:hint="eastAsia"/>
        </w:rPr>
        <w:t>　振动和冲击</w:t>
      </w:r>
      <w:r>
        <w:rPr>
          <w:lang w:val="en-US" w:eastAsia="zh-CN"/>
        </w:rPr>
        <w:tab/>
      </w:r>
      <w:r>
        <w:rPr>
          <w:lang w:val="en-US" w:eastAsia="zh-CN"/>
        </w:rPr>
        <w:fldChar w:fldCharType="begin" w:fldLock="1"/>
      </w:r>
      <w:r>
        <w:rPr>
          <w:lang w:val="en-US" w:eastAsia="zh-CN"/>
        </w:rPr>
        <w:instrText xml:space="preserve"> PAGEREF _Toc18138076 \h </w:instrText>
      </w:r>
      <w:r>
        <w:rPr>
          <w:lang w:val="en-US" w:eastAsia="zh-CN"/>
        </w:rPr>
        <w:fldChar w:fldCharType="separate"/>
      </w:r>
      <w:r>
        <w:rPr>
          <w:lang w:val="en-US" w:eastAsia="zh-CN"/>
        </w:rPr>
        <w:t>14</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"_Toc18138077" </w:instrText>
      </w:r>
      <w:r>
        <w:fldChar w:fldCharType="separate"/>
      </w:r>
      <w:r>
        <w:rPr>
          <w:rStyle w:val="42"/>
        </w:rPr>
        <w:t>6.8</w:t>
      </w:r>
      <w:r>
        <w:rPr>
          <w:rStyle w:val="42"/>
          <w:rFonts w:hint="eastAsia"/>
        </w:rPr>
        <w:t>　报警</w:t>
      </w:r>
      <w:r>
        <w:rPr>
          <w:lang w:val="en-US" w:eastAsia="zh-CN"/>
        </w:rPr>
        <w:tab/>
      </w:r>
      <w:r>
        <w:rPr>
          <w:lang w:val="en-US" w:eastAsia="zh-CN"/>
        </w:rPr>
        <w:fldChar w:fldCharType="begin" w:fldLock="1"/>
      </w:r>
      <w:r>
        <w:rPr>
          <w:lang w:val="en-US" w:eastAsia="zh-CN"/>
        </w:rPr>
        <w:instrText xml:space="preserve"> PAGEREF _Toc18138077 \h </w:instrText>
      </w:r>
      <w:r>
        <w:rPr>
          <w:lang w:val="en-US" w:eastAsia="zh-CN"/>
        </w:rPr>
        <w:fldChar w:fldCharType="separate"/>
      </w:r>
      <w:r>
        <w:rPr>
          <w:lang w:val="en-US" w:eastAsia="zh-CN"/>
        </w:rPr>
        <w:t>15</w:t>
      </w:r>
      <w:r>
        <w:rPr>
          <w:lang w:val="en-US" w:eastAsia="zh-CN"/>
        </w:rPr>
        <w:fldChar w:fldCharType="end"/>
      </w:r>
      <w:r>
        <w:rPr>
          <w:lang w:val="en-US" w:eastAsia="zh-CN"/>
        </w:rPr>
        <w:fldChar w:fldCharType="end"/>
      </w:r>
    </w:p>
    <w:p>
      <w:pPr>
        <w:pStyle w:val="23"/>
        <w:spacing w:before="60" w:after="60"/>
        <w:rPr>
          <w:rFonts w:ascii="Calibri" w:hAnsi="Calibri"/>
          <w:szCs w:val="22"/>
          <w:lang w:val="en-US" w:eastAsia="zh-CN"/>
        </w:rPr>
      </w:pPr>
      <w:r>
        <w:fldChar w:fldCharType="begin"/>
      </w:r>
      <w:r>
        <w:instrText xml:space="preserve"> HYPERLINK \l "_Toc18138078" </w:instrText>
      </w:r>
      <w:r>
        <w:fldChar w:fldCharType="separate"/>
      </w:r>
      <w:r>
        <w:rPr>
          <w:rStyle w:val="42"/>
        </w:rPr>
        <w:t>7</w:t>
      </w:r>
      <w:r>
        <w:rPr>
          <w:rStyle w:val="42"/>
          <w:rFonts w:hint="eastAsia"/>
        </w:rPr>
        <w:t>　安装要求</w:t>
      </w:r>
      <w:r>
        <w:rPr>
          <w:lang w:val="en-US" w:eastAsia="zh-CN"/>
        </w:rPr>
        <w:tab/>
      </w:r>
      <w:r>
        <w:rPr>
          <w:lang w:val="en-US" w:eastAsia="zh-CN"/>
        </w:rPr>
        <w:fldChar w:fldCharType="begin" w:fldLock="1"/>
      </w:r>
      <w:r>
        <w:rPr>
          <w:lang w:val="en-US" w:eastAsia="zh-CN"/>
        </w:rPr>
        <w:instrText xml:space="preserve"> PAGEREF _Toc18138078 \h </w:instrText>
      </w:r>
      <w:r>
        <w:rPr>
          <w:lang w:val="en-US" w:eastAsia="zh-CN"/>
        </w:rPr>
        <w:fldChar w:fldCharType="separate"/>
      </w:r>
      <w:r>
        <w:rPr>
          <w:lang w:val="en-US" w:eastAsia="zh-CN"/>
        </w:rPr>
        <w:t>15</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"_Toc18138079" </w:instrText>
      </w:r>
      <w:r>
        <w:fldChar w:fldCharType="separate"/>
      </w:r>
      <w:r>
        <w:rPr>
          <w:rStyle w:val="42"/>
        </w:rPr>
        <w:t>7.1</w:t>
      </w:r>
      <w:r>
        <w:rPr>
          <w:rStyle w:val="42"/>
          <w:rFonts w:hint="eastAsia"/>
        </w:rPr>
        <w:t>　总体要求</w:t>
      </w:r>
      <w:r>
        <w:rPr>
          <w:lang w:val="en-US" w:eastAsia="zh-CN"/>
        </w:rPr>
        <w:tab/>
      </w:r>
      <w:r>
        <w:rPr>
          <w:lang w:val="en-US" w:eastAsia="zh-CN"/>
        </w:rPr>
        <w:fldChar w:fldCharType="begin" w:fldLock="1"/>
      </w:r>
      <w:r>
        <w:rPr>
          <w:lang w:val="en-US" w:eastAsia="zh-CN"/>
        </w:rPr>
        <w:instrText xml:space="preserve"> PAGEREF _Toc18138079 \h </w:instrText>
      </w:r>
      <w:r>
        <w:rPr>
          <w:lang w:val="en-US" w:eastAsia="zh-CN"/>
        </w:rPr>
        <w:fldChar w:fldCharType="separate"/>
      </w:r>
      <w:r>
        <w:rPr>
          <w:lang w:val="en-US" w:eastAsia="zh-CN"/>
        </w:rPr>
        <w:t>15</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"_Toc18138080" </w:instrText>
      </w:r>
      <w:r>
        <w:fldChar w:fldCharType="separate"/>
      </w:r>
      <w:r>
        <w:rPr>
          <w:rStyle w:val="42"/>
        </w:rPr>
        <w:t>7.2</w:t>
      </w:r>
      <w:r>
        <w:rPr>
          <w:rStyle w:val="42"/>
          <w:rFonts w:hint="eastAsia"/>
        </w:rPr>
        <w:t>　智能视频监控报警装置</w:t>
      </w:r>
      <w:r>
        <w:rPr>
          <w:lang w:val="en-US" w:eastAsia="zh-CN"/>
        </w:rPr>
        <w:tab/>
      </w:r>
      <w:r>
        <w:rPr>
          <w:lang w:val="en-US" w:eastAsia="zh-CN"/>
        </w:rPr>
        <w:fldChar w:fldCharType="begin" w:fldLock="1"/>
      </w:r>
      <w:r>
        <w:rPr>
          <w:lang w:val="en-US" w:eastAsia="zh-CN"/>
        </w:rPr>
        <w:instrText xml:space="preserve"> PAGEREF _Toc18138080 \h </w:instrText>
      </w:r>
      <w:r>
        <w:rPr>
          <w:lang w:val="en-US" w:eastAsia="zh-CN"/>
        </w:rPr>
        <w:fldChar w:fldCharType="separate"/>
      </w:r>
      <w:r>
        <w:rPr>
          <w:lang w:val="en-US" w:eastAsia="zh-CN"/>
        </w:rPr>
        <w:t>15</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"_Toc18138081" </w:instrText>
      </w:r>
      <w:r>
        <w:fldChar w:fldCharType="separate"/>
      </w:r>
      <w:r>
        <w:rPr>
          <w:rStyle w:val="42"/>
        </w:rPr>
        <w:t>7.3</w:t>
      </w:r>
      <w:r>
        <w:rPr>
          <w:rStyle w:val="42"/>
          <w:rFonts w:hint="eastAsia"/>
        </w:rPr>
        <w:t>　安装布线</w:t>
      </w:r>
      <w:r>
        <w:rPr>
          <w:lang w:val="en-US" w:eastAsia="zh-CN"/>
        </w:rPr>
        <w:tab/>
      </w:r>
      <w:r>
        <w:rPr>
          <w:lang w:val="en-US" w:eastAsia="zh-CN"/>
        </w:rPr>
        <w:fldChar w:fldCharType="begin" w:fldLock="1"/>
      </w:r>
      <w:r>
        <w:rPr>
          <w:lang w:val="en-US" w:eastAsia="zh-CN"/>
        </w:rPr>
        <w:instrText xml:space="preserve"> PAGEREF _Toc18138081 \h </w:instrText>
      </w:r>
      <w:r>
        <w:rPr>
          <w:lang w:val="en-US" w:eastAsia="zh-CN"/>
        </w:rPr>
        <w:fldChar w:fldCharType="separate"/>
      </w:r>
      <w:r>
        <w:rPr>
          <w:lang w:val="en-US" w:eastAsia="zh-CN"/>
        </w:rPr>
        <w:t>15</w:t>
      </w:r>
      <w:r>
        <w:rPr>
          <w:lang w:val="en-US" w:eastAsia="zh-CN"/>
        </w:rPr>
        <w:fldChar w:fldCharType="end"/>
      </w:r>
      <w:r>
        <w:rPr>
          <w:lang w:val="en-US" w:eastAsia="zh-CN"/>
        </w:rPr>
        <w:fldChar w:fldCharType="end"/>
      </w:r>
    </w:p>
    <w:p>
      <w:pPr>
        <w:pStyle w:val="23"/>
        <w:spacing w:before="60" w:after="60"/>
        <w:rPr>
          <w:rFonts w:ascii="Calibri" w:hAnsi="Calibri"/>
          <w:szCs w:val="22"/>
          <w:lang w:val="en-US" w:eastAsia="zh-CN"/>
        </w:rPr>
      </w:pPr>
      <w:r>
        <w:fldChar w:fldCharType="begin"/>
      </w:r>
      <w:r>
        <w:instrText xml:space="preserve"> HYPERLINK \l "_Toc18138082" </w:instrText>
      </w:r>
      <w:r>
        <w:fldChar w:fldCharType="separate"/>
      </w:r>
      <w:r>
        <w:rPr>
          <w:rStyle w:val="42"/>
        </w:rPr>
        <w:t>8</w:t>
      </w:r>
      <w:r>
        <w:rPr>
          <w:rStyle w:val="42"/>
          <w:rFonts w:hint="eastAsia"/>
        </w:rPr>
        <w:t>　智能视频监控报警装置测试方法</w:t>
      </w:r>
      <w:r>
        <w:rPr>
          <w:lang w:val="en-US" w:eastAsia="zh-CN"/>
        </w:rPr>
        <w:tab/>
      </w:r>
      <w:r>
        <w:rPr>
          <w:lang w:val="en-US" w:eastAsia="zh-CN"/>
        </w:rPr>
        <w:fldChar w:fldCharType="begin" w:fldLock="1"/>
      </w:r>
      <w:r>
        <w:rPr>
          <w:lang w:val="en-US" w:eastAsia="zh-CN"/>
        </w:rPr>
        <w:instrText xml:space="preserve"> PAGEREF _Toc18138082 \h </w:instrText>
      </w:r>
      <w:r>
        <w:rPr>
          <w:lang w:val="en-US" w:eastAsia="zh-CN"/>
        </w:rPr>
        <w:fldChar w:fldCharType="separate"/>
      </w:r>
      <w:r>
        <w:rPr>
          <w:lang w:val="en-US" w:eastAsia="zh-CN"/>
        </w:rPr>
        <w:t>16</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"_Toc18138083" </w:instrText>
      </w:r>
      <w:r>
        <w:fldChar w:fldCharType="separate"/>
      </w:r>
      <w:r>
        <w:rPr>
          <w:rStyle w:val="42"/>
        </w:rPr>
        <w:t>8.1</w:t>
      </w:r>
      <w:r>
        <w:rPr>
          <w:rStyle w:val="42"/>
          <w:rFonts w:hint="eastAsia"/>
        </w:rPr>
        <w:t>　车辆运行监测功能检测项目及方法</w:t>
      </w:r>
      <w:r>
        <w:rPr>
          <w:lang w:val="en-US" w:eastAsia="zh-CN"/>
        </w:rPr>
        <w:tab/>
      </w:r>
      <w:r>
        <w:rPr>
          <w:lang w:val="en-US" w:eastAsia="zh-CN"/>
        </w:rPr>
        <w:fldChar w:fldCharType="begin" w:fldLock="1"/>
      </w:r>
      <w:r>
        <w:rPr>
          <w:lang w:val="en-US" w:eastAsia="zh-CN"/>
        </w:rPr>
        <w:instrText xml:space="preserve"> PAGEREF _Toc18138083 \h </w:instrText>
      </w:r>
      <w:r>
        <w:rPr>
          <w:lang w:val="en-US" w:eastAsia="zh-CN"/>
        </w:rPr>
        <w:fldChar w:fldCharType="separate"/>
      </w:r>
      <w:r>
        <w:rPr>
          <w:lang w:val="en-US" w:eastAsia="zh-CN"/>
        </w:rPr>
        <w:t>16</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"_Toc18138084" </w:instrText>
      </w:r>
      <w:r>
        <w:fldChar w:fldCharType="separate"/>
      </w:r>
      <w:r>
        <w:rPr>
          <w:rStyle w:val="42"/>
        </w:rPr>
        <w:t>8.2</w:t>
      </w:r>
      <w:r>
        <w:rPr>
          <w:rStyle w:val="42"/>
          <w:rFonts w:hint="eastAsia"/>
        </w:rPr>
        <w:t>　驾驶员状态监测检测项目及方法</w:t>
      </w:r>
      <w:r>
        <w:rPr>
          <w:rStyle w:val="42"/>
        </w:rPr>
        <w:t>(DSM)</w:t>
      </w:r>
      <w:r>
        <w:rPr>
          <w:lang w:val="en-US" w:eastAsia="zh-CN"/>
        </w:rPr>
        <w:tab/>
      </w:r>
      <w:r>
        <w:rPr>
          <w:lang w:val="en-US" w:eastAsia="zh-CN"/>
        </w:rPr>
        <w:fldChar w:fldCharType="begin" w:fldLock="1"/>
      </w:r>
      <w:r>
        <w:rPr>
          <w:lang w:val="en-US" w:eastAsia="zh-CN"/>
        </w:rPr>
        <w:instrText xml:space="preserve"> PAGEREF _Toc18138084 \h </w:instrText>
      </w:r>
      <w:r>
        <w:rPr>
          <w:lang w:val="en-US" w:eastAsia="zh-CN"/>
        </w:rPr>
        <w:fldChar w:fldCharType="separate"/>
      </w:r>
      <w:r>
        <w:rPr>
          <w:lang w:val="en-US" w:eastAsia="zh-CN"/>
        </w:rPr>
        <w:t>18</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"_Toc18138085" </w:instrText>
      </w:r>
      <w:r>
        <w:fldChar w:fldCharType="separate"/>
      </w:r>
      <w:r>
        <w:rPr>
          <w:rStyle w:val="42"/>
        </w:rPr>
        <w:t>8.3</w:t>
      </w:r>
      <w:r>
        <w:rPr>
          <w:rStyle w:val="42"/>
          <w:rFonts w:hint="eastAsia"/>
        </w:rPr>
        <w:t>　无线通信模块</w:t>
      </w:r>
      <w:r>
        <w:rPr>
          <w:lang w:val="en-US" w:eastAsia="zh-CN"/>
        </w:rPr>
        <w:tab/>
      </w:r>
      <w:r>
        <w:rPr>
          <w:lang w:val="en-US" w:eastAsia="zh-CN"/>
        </w:rPr>
        <w:fldChar w:fldCharType="begin" w:fldLock="1"/>
      </w:r>
      <w:r>
        <w:rPr>
          <w:lang w:val="en-US" w:eastAsia="zh-CN"/>
        </w:rPr>
        <w:instrText xml:space="preserve"> PAGEREF _Toc18138085 \h </w:instrText>
      </w:r>
      <w:r>
        <w:rPr>
          <w:lang w:val="en-US" w:eastAsia="zh-CN"/>
        </w:rPr>
        <w:fldChar w:fldCharType="separate"/>
      </w:r>
      <w:r>
        <w:rPr>
          <w:lang w:val="en-US" w:eastAsia="zh-CN"/>
        </w:rPr>
        <w:t>24</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"_Toc18138086" </w:instrText>
      </w:r>
      <w:r>
        <w:fldChar w:fldCharType="separate"/>
      </w:r>
      <w:r>
        <w:rPr>
          <w:rStyle w:val="42"/>
        </w:rPr>
        <w:t>8.4</w:t>
      </w:r>
      <w:r>
        <w:rPr>
          <w:rStyle w:val="42"/>
          <w:rFonts w:hint="eastAsia"/>
        </w:rPr>
        <w:t>　卫星定位（选配）</w:t>
      </w:r>
      <w:r>
        <w:rPr>
          <w:lang w:val="en-US" w:eastAsia="zh-CN"/>
        </w:rPr>
        <w:tab/>
      </w:r>
      <w:r>
        <w:rPr>
          <w:lang w:val="en-US" w:eastAsia="zh-CN"/>
        </w:rPr>
        <w:fldChar w:fldCharType="begin" w:fldLock="1"/>
      </w:r>
      <w:r>
        <w:rPr>
          <w:lang w:val="en-US" w:eastAsia="zh-CN"/>
        </w:rPr>
        <w:instrText xml:space="preserve"> PAGEREF _Toc18138086 \h </w:instrText>
      </w:r>
      <w:r>
        <w:rPr>
          <w:lang w:val="en-US" w:eastAsia="zh-CN"/>
        </w:rPr>
        <w:fldChar w:fldCharType="separate"/>
      </w:r>
      <w:r>
        <w:rPr>
          <w:lang w:val="en-US" w:eastAsia="zh-CN"/>
        </w:rPr>
        <w:t>24</w:t>
      </w:r>
      <w:r>
        <w:rPr>
          <w:lang w:val="en-US" w:eastAsia="zh-CN"/>
        </w:rPr>
        <w:fldChar w:fldCharType="end"/>
      </w:r>
      <w:r>
        <w:rPr>
          <w:lang w:val="en-US" w:eastAsia="zh-CN"/>
        </w:rPr>
        <w:fldChar w:fldCharType="end"/>
      </w:r>
    </w:p>
    <w:p>
      <w:pPr>
        <w:pStyle w:val="16"/>
        <w:ind w:firstLine="210"/>
        <w:rPr>
          <w:rFonts w:ascii="Calibri" w:hAnsi="Calibri"/>
          <w:szCs w:val="22"/>
          <w:lang w:val="en-US" w:eastAsia="zh-CN"/>
        </w:rPr>
      </w:pPr>
      <w:r>
        <w:fldChar w:fldCharType="begin"/>
      </w:r>
      <w:r>
        <w:instrText xml:space="preserve"> HYPERLINK \l "_Toc18138087" </w:instrText>
      </w:r>
      <w:r>
        <w:fldChar w:fldCharType="separate"/>
      </w:r>
      <w:r>
        <w:rPr>
          <w:rStyle w:val="42"/>
        </w:rPr>
        <w:t>8.5</w:t>
      </w:r>
      <w:r>
        <w:rPr>
          <w:rStyle w:val="42"/>
          <w:rFonts w:hint="eastAsia"/>
        </w:rPr>
        <w:t>　车载视频监控功能（选配）</w:t>
      </w:r>
      <w:r>
        <w:rPr>
          <w:lang w:val="en-US" w:eastAsia="zh-CN"/>
        </w:rPr>
        <w:tab/>
      </w:r>
      <w:r>
        <w:rPr>
          <w:lang w:val="en-US" w:eastAsia="zh-CN"/>
        </w:rPr>
        <w:fldChar w:fldCharType="begin" w:fldLock="1"/>
      </w:r>
      <w:r>
        <w:rPr>
          <w:lang w:val="en-US" w:eastAsia="zh-CN"/>
        </w:rPr>
        <w:instrText xml:space="preserve"> PAGEREF _Toc18138087 \h </w:instrText>
      </w:r>
      <w:r>
        <w:rPr>
          <w:lang w:val="en-US" w:eastAsia="zh-CN"/>
        </w:rPr>
        <w:fldChar w:fldCharType="separate"/>
      </w:r>
      <w:r>
        <w:rPr>
          <w:lang w:val="en-US" w:eastAsia="zh-CN"/>
        </w:rPr>
        <w:t>24</w:t>
      </w:r>
      <w:r>
        <w:rPr>
          <w:lang w:val="en-US" w:eastAsia="zh-CN"/>
        </w:rPr>
        <w:fldChar w:fldCharType="end"/>
      </w:r>
      <w:r>
        <w:rPr>
          <w:lang w:val="en-US" w:eastAsia="zh-CN"/>
        </w:rPr>
        <w:fldChar w:fldCharType="end"/>
      </w:r>
    </w:p>
    <w:p>
      <w:pPr>
        <w:pStyle w:val="23"/>
        <w:spacing w:before="60" w:after="60"/>
        <w:rPr>
          <w:rFonts w:ascii="Calibri" w:hAnsi="Calibri"/>
          <w:szCs w:val="22"/>
          <w:lang w:val="en-US" w:eastAsia="zh-CN"/>
        </w:rPr>
      </w:pPr>
      <w:r>
        <w:fldChar w:fldCharType="begin"/>
      </w:r>
      <w:r>
        <w:instrText xml:space="preserve"> HYPERLINK \l "_Toc18138088" </w:instrText>
      </w:r>
      <w:r>
        <w:fldChar w:fldCharType="separate"/>
      </w:r>
      <w:r>
        <w:rPr>
          <w:rStyle w:val="42"/>
          <w:rFonts w:hint="eastAsia"/>
        </w:rPr>
        <w:t>附录A（规范性附录）</w:t>
      </w:r>
      <w:r>
        <w:rPr>
          <w:rStyle w:val="42"/>
        </w:rPr>
        <w:t>　</w:t>
      </w:r>
      <w:r>
        <w:rPr>
          <w:rStyle w:val="42"/>
          <w:rFonts w:hint="eastAsia"/>
        </w:rPr>
        <w:t>外设数据通讯接口规格和要求</w:t>
      </w:r>
      <w:r>
        <w:rPr>
          <w:lang w:val="en-US" w:eastAsia="zh-CN"/>
        </w:rPr>
        <w:tab/>
      </w:r>
      <w:r>
        <w:rPr>
          <w:lang w:val="en-US" w:eastAsia="zh-CN"/>
        </w:rPr>
        <w:fldChar w:fldCharType="begin" w:fldLock="1"/>
      </w:r>
      <w:r>
        <w:rPr>
          <w:lang w:val="en-US" w:eastAsia="zh-CN"/>
        </w:rPr>
        <w:instrText xml:space="preserve"> PAGEREF _Toc18138088 \h </w:instrText>
      </w:r>
      <w:r>
        <w:rPr>
          <w:lang w:val="en-US" w:eastAsia="zh-CN"/>
        </w:rPr>
        <w:fldChar w:fldCharType="separate"/>
      </w:r>
      <w:r>
        <w:rPr>
          <w:lang w:val="en-US" w:eastAsia="zh-CN"/>
        </w:rPr>
        <w:t>25</w:t>
      </w:r>
      <w:r>
        <w:rPr>
          <w:lang w:val="en-US" w:eastAsia="zh-CN"/>
        </w:rPr>
        <w:fldChar w:fldCharType="end"/>
      </w:r>
      <w:r>
        <w:rPr>
          <w:lang w:val="en-US" w:eastAsia="zh-CN"/>
        </w:rPr>
        <w:fldChar w:fldCharType="end"/>
      </w:r>
    </w:p>
    <w:p>
      <w:pPr>
        <w:pStyle w:val="23"/>
        <w:spacing w:before="60" w:after="60"/>
        <w:rPr>
          <w:rFonts w:ascii="Calibri" w:hAnsi="Calibri"/>
          <w:szCs w:val="22"/>
          <w:lang w:val="en-US" w:eastAsia="zh-CN"/>
        </w:rPr>
      </w:pPr>
      <w:r>
        <w:fldChar w:fldCharType="begin"/>
      </w:r>
      <w:r>
        <w:instrText xml:space="preserve"> HYPERLINK \l "_Toc18138089" </w:instrText>
      </w:r>
      <w:r>
        <w:fldChar w:fldCharType="separate"/>
      </w:r>
      <w:r>
        <w:rPr>
          <w:rStyle w:val="42"/>
          <w:rFonts w:hint="eastAsia"/>
        </w:rPr>
        <w:t>参</w:t>
      </w:r>
      <w:r>
        <w:rPr>
          <w:rStyle w:val="42"/>
          <w:rFonts w:hAnsi="黑体"/>
        </w:rPr>
        <w:t> </w:t>
      </w:r>
      <w:r>
        <w:rPr>
          <w:rStyle w:val="42"/>
          <w:rFonts w:hint="eastAsia"/>
        </w:rPr>
        <w:t>考</w:t>
      </w:r>
      <w:r>
        <w:rPr>
          <w:rStyle w:val="42"/>
          <w:rFonts w:hAnsi="黑体"/>
        </w:rPr>
        <w:t> </w:t>
      </w:r>
      <w:r>
        <w:rPr>
          <w:rStyle w:val="42"/>
          <w:rFonts w:hint="eastAsia"/>
        </w:rPr>
        <w:t>文</w:t>
      </w:r>
      <w:r>
        <w:rPr>
          <w:rStyle w:val="42"/>
          <w:rFonts w:hAnsi="黑体"/>
        </w:rPr>
        <w:t> </w:t>
      </w:r>
      <w:r>
        <w:rPr>
          <w:rStyle w:val="42"/>
          <w:rFonts w:hint="eastAsia"/>
        </w:rPr>
        <w:t>献</w:t>
      </w:r>
      <w:r>
        <w:rPr>
          <w:lang w:val="en-US" w:eastAsia="zh-CN"/>
        </w:rPr>
        <w:tab/>
      </w:r>
      <w:r>
        <w:rPr>
          <w:lang w:val="en-US" w:eastAsia="zh-CN"/>
        </w:rPr>
        <w:fldChar w:fldCharType="begin" w:fldLock="1"/>
      </w:r>
      <w:r>
        <w:rPr>
          <w:lang w:val="en-US" w:eastAsia="zh-CN"/>
        </w:rPr>
        <w:instrText xml:space="preserve"> PAGEREF _Toc18138089 \h </w:instrText>
      </w:r>
      <w:r>
        <w:rPr>
          <w:lang w:val="en-US" w:eastAsia="zh-CN"/>
        </w:rPr>
        <w:fldChar w:fldCharType="separate"/>
      </w:r>
      <w:r>
        <w:rPr>
          <w:lang w:val="en-US" w:eastAsia="zh-CN"/>
        </w:rPr>
        <w:t>27</w:t>
      </w:r>
      <w:r>
        <w:rPr>
          <w:lang w:val="en-US" w:eastAsia="zh-CN"/>
        </w:rPr>
        <w:fldChar w:fldCharType="end"/>
      </w:r>
      <w:r>
        <w:rPr>
          <w:lang w:val="en-US" w:eastAsia="zh-CN"/>
        </w:rPr>
        <w:fldChar w:fldCharType="end"/>
      </w:r>
    </w:p>
    <w:p>
      <w:pPr>
        <w:pStyle w:val="27"/>
        <w:rPr>
          <w:rFonts w:hint="eastAsia"/>
        </w:rPr>
      </w:pPr>
      <w:r>
        <w:fldChar w:fldCharType="end"/>
      </w:r>
    </w:p>
    <w:p>
      <w:pPr>
        <w:pStyle w:val="86"/>
      </w:pPr>
      <w:bookmarkStart w:id="20" w:name="_Toc18138013"/>
      <w:r>
        <w:rPr>
          <w:rFonts w:hint="eastAsia"/>
        </w:rPr>
        <w:t>前</w:t>
      </w:r>
      <w:bookmarkStart w:id="21" w:name="BKQY"/>
      <w:r>
        <w:rPr>
          <w:rFonts w:hAnsi="黑体"/>
        </w:rPr>
        <w:t>  </w:t>
      </w:r>
      <w:r>
        <w:rPr>
          <w:rFonts w:hint="eastAsia"/>
        </w:rPr>
        <w:t>言</w:t>
      </w:r>
      <w:bookmarkEnd w:id="13"/>
      <w:bookmarkEnd w:id="14"/>
      <w:bookmarkEnd w:id="15"/>
      <w:bookmarkEnd w:id="16"/>
      <w:bookmarkEnd w:id="17"/>
      <w:bookmarkEnd w:id="18"/>
      <w:bookmarkEnd w:id="20"/>
      <w:bookmarkEnd w:id="21"/>
    </w:p>
    <w:p>
      <w:pPr>
        <w:pStyle w:val="27"/>
      </w:pPr>
      <w:r>
        <w:rPr>
          <w:rFonts w:hint="eastAsia"/>
        </w:rPr>
        <w:t>《道路运输车辆智能视频监控报警系统技术规范》分为3个部分：</w:t>
      </w:r>
    </w:p>
    <w:p>
      <w:pPr>
        <w:pStyle w:val="27"/>
      </w:pPr>
      <w:r>
        <w:rPr>
          <w:rFonts w:hint="eastAsia"/>
        </w:rPr>
        <w:t>——第1部分：平台技术要求</w:t>
      </w:r>
    </w:p>
    <w:p>
      <w:pPr>
        <w:pStyle w:val="27"/>
      </w:pPr>
      <w:r>
        <w:rPr>
          <w:rFonts w:hint="eastAsia"/>
        </w:rPr>
        <w:t>——第2部分：终端及测试方法</w:t>
      </w:r>
    </w:p>
    <w:p>
      <w:pPr>
        <w:pStyle w:val="27"/>
      </w:pPr>
      <w:r>
        <w:rPr>
          <w:rFonts w:hint="eastAsia"/>
        </w:rPr>
        <w:t>——第3部分：通讯协议</w:t>
      </w:r>
    </w:p>
    <w:p>
      <w:pPr>
        <w:pStyle w:val="27"/>
      </w:pPr>
      <w:r>
        <w:rPr>
          <w:rFonts w:hint="eastAsia"/>
        </w:rPr>
        <w:t>本部分为第2部分。</w:t>
      </w:r>
    </w:p>
    <w:p>
      <w:pPr>
        <w:pStyle w:val="27"/>
      </w:pPr>
      <w:r>
        <w:rPr>
          <w:rFonts w:hint="eastAsia"/>
        </w:rPr>
        <w:t>本部分按照GB/T1.1-2009《标准化工作导则 第1部分：标准的结构和编写规则》编写。</w:t>
      </w:r>
    </w:p>
    <w:p>
      <w:pPr>
        <w:rPr>
          <w:color w:val="auto"/>
        </w:rPr>
      </w:pPr>
      <w:r>
        <w:rPr>
          <w:rFonts w:hint="eastAsia" w:hAnsi="宋体"/>
          <w:szCs w:val="22"/>
        </w:rPr>
        <w:t>本部分</w:t>
      </w:r>
      <w:r>
        <w:rPr>
          <w:rFonts w:hint="eastAsia"/>
          <w:color w:val="auto"/>
          <w:kern w:val="2"/>
          <w:szCs w:val="22"/>
        </w:rPr>
        <w:t>依据《交通运输部办公厅关于推广应用智能视频监控报警技术的通知》（交办运</w:t>
      </w:r>
      <w:r>
        <w:rPr>
          <w:rFonts w:hint="eastAsia" w:hAnsi="宋体" w:cs="宋体"/>
          <w:color w:val="auto"/>
          <w:kern w:val="2"/>
          <w:szCs w:val="22"/>
        </w:rPr>
        <w:t>〔</w:t>
      </w:r>
      <w:r>
        <w:rPr>
          <w:rFonts w:hint="eastAsia" w:cs="宋体"/>
          <w:color w:val="auto"/>
          <w:kern w:val="2"/>
          <w:szCs w:val="22"/>
        </w:rPr>
        <w:t>2018</w:t>
      </w:r>
      <w:r>
        <w:rPr>
          <w:rFonts w:hint="eastAsia" w:hAnsi="宋体" w:cs="宋体"/>
          <w:color w:val="auto"/>
          <w:kern w:val="2"/>
          <w:szCs w:val="22"/>
        </w:rPr>
        <w:t>〕</w:t>
      </w:r>
      <w:r>
        <w:rPr>
          <w:rFonts w:hint="eastAsia" w:cs="宋体"/>
          <w:color w:val="auto"/>
          <w:kern w:val="2"/>
          <w:szCs w:val="22"/>
        </w:rPr>
        <w:t>115号</w:t>
      </w:r>
      <w:r>
        <w:rPr>
          <w:rFonts w:hint="eastAsia"/>
          <w:color w:val="auto"/>
          <w:kern w:val="2"/>
          <w:szCs w:val="22"/>
        </w:rPr>
        <w:t>）文件编写</w:t>
      </w:r>
      <w:r>
        <w:rPr>
          <w:rFonts w:hint="eastAsia"/>
          <w:color w:val="auto"/>
        </w:rPr>
        <w:t>。</w:t>
      </w:r>
    </w:p>
    <w:p>
      <w:r>
        <w:rPr>
          <w:rFonts w:hint="eastAsia"/>
          <w:color w:val="auto"/>
        </w:rPr>
        <w:t>本部分由吉林省运输协会</w:t>
      </w:r>
      <w:r>
        <w:rPr>
          <w:rFonts w:hint="eastAsia"/>
          <w:color w:val="auto"/>
          <w:kern w:val="2"/>
          <w:szCs w:val="22"/>
        </w:rPr>
        <w:t>提出并归口</w:t>
      </w:r>
      <w:r>
        <w:rPr>
          <w:rFonts w:hint="eastAsia"/>
          <w:color w:val="auto"/>
        </w:rPr>
        <w:t>。</w:t>
      </w:r>
    </w:p>
    <w:p>
      <w:pPr>
        <w:pStyle w:val="27"/>
      </w:pPr>
      <w:r>
        <w:rPr>
          <w:rFonts w:hint="eastAsia"/>
        </w:rPr>
        <w:t>本部分起草单位：吉林省运输协会、吉林省产品质量监督检验院、深圳市锐明技术股份有限公司。</w:t>
      </w:r>
    </w:p>
    <w:p>
      <w:pPr>
        <w:pStyle w:val="27"/>
      </w:pPr>
      <w:r>
        <w:rPr>
          <w:rFonts w:hint="eastAsia"/>
        </w:rPr>
        <w:t>本部分主要起草人：刘德才、沈善辉、边增远、姜宇、李尚禹、李恒、于日明、付兴国、金爽、李洋、赵婷、刘洋、李元明。</w:t>
      </w:r>
    </w:p>
    <w:p>
      <w:pPr>
        <w:pStyle w:val="27"/>
        <w:rPr>
          <w:rFonts w:hint="eastAsia"/>
        </w:rPr>
      </w:pPr>
    </w:p>
    <w:p>
      <w:pPr>
        <w:pStyle w:val="27"/>
        <w:sectPr>
          <w:footerReference r:id="rId4" w:type="default"/>
          <w:pgSz w:w="11900" w:h="16838"/>
          <w:pgMar w:top="1440" w:right="1780" w:bottom="1440" w:left="1800" w:header="720" w:footer="720" w:gutter="0"/>
          <w:pgNumType w:fmt="upperRoman" w:start="1"/>
          <w:cols w:space="720" w:num="1"/>
          <w:formProt w:val="0"/>
        </w:sectPr>
      </w:pPr>
    </w:p>
    <w:p>
      <w:pPr>
        <w:pStyle w:val="123"/>
        <w:rPr>
          <w:rFonts w:hint="eastAsia"/>
        </w:rPr>
      </w:pPr>
      <w:r>
        <w:rPr>
          <w:rFonts w:hint="eastAsia"/>
        </w:rPr>
        <w:t>道路</w:t>
      </w:r>
      <w:bookmarkStart w:id="22" w:name="StandardName"/>
      <w:r>
        <w:rPr>
          <w:rFonts w:hint="eastAsia"/>
        </w:rPr>
        <w:t>运输车辆智能视频监控报警系统技术规范</w:t>
      </w:r>
      <w:bookmarkEnd w:id="22"/>
    </w:p>
    <w:p>
      <w:pPr>
        <w:jc w:val="center"/>
        <w:rPr>
          <w:rFonts w:hint="eastAsia"/>
        </w:rPr>
      </w:pPr>
      <w:r>
        <w:rPr>
          <w:rFonts w:hint="eastAsia"/>
          <w:b/>
          <w:bCs/>
          <w:sz w:val="32"/>
          <w:szCs w:val="32"/>
        </w:rPr>
        <w:t>第2部分：终端及测试方法</w:t>
      </w:r>
    </w:p>
    <w:p>
      <w:pPr>
        <w:pStyle w:val="97"/>
        <w:rPr>
          <w:rFonts w:hint="eastAsia"/>
        </w:rPr>
      </w:pPr>
      <w:bookmarkStart w:id="23" w:name="_Toc17563770"/>
      <w:bookmarkStart w:id="24" w:name="_Toc18138014"/>
      <w:bookmarkStart w:id="25" w:name="_Toc17642922"/>
      <w:bookmarkStart w:id="26" w:name="_Toc17642766"/>
      <w:bookmarkStart w:id="27" w:name="_Toc17565873"/>
      <w:bookmarkStart w:id="28" w:name="_Toc17643071"/>
      <w:bookmarkStart w:id="29" w:name="_Toc18102049"/>
      <w:r>
        <w:rPr>
          <w:rFonts w:hint="eastAsia"/>
        </w:rPr>
        <w:t>范围</w:t>
      </w:r>
      <w:bookmarkEnd w:id="23"/>
      <w:bookmarkEnd w:id="24"/>
      <w:bookmarkEnd w:id="25"/>
      <w:bookmarkEnd w:id="26"/>
      <w:bookmarkEnd w:id="27"/>
      <w:bookmarkEnd w:id="28"/>
      <w:bookmarkEnd w:id="29"/>
    </w:p>
    <w:p>
      <w:pPr>
        <w:pStyle w:val="27"/>
        <w:rPr>
          <w:sz w:val="24"/>
        </w:rPr>
      </w:pPr>
      <w:r>
        <w:rPr>
          <w:rFonts w:hint="eastAsia"/>
        </w:rPr>
        <w:t>本部分规定了道路运输车辆智能视频监控报警技术车载终端（以下简称终端）的功能要求、技术参数要求、安装要求以及测试方法等内容。</w:t>
      </w:r>
    </w:p>
    <w:p>
      <w:pPr>
        <w:pStyle w:val="27"/>
        <w:rPr>
          <w:rFonts w:hint="eastAsia"/>
        </w:rPr>
      </w:pPr>
      <w:r>
        <w:rPr>
          <w:rFonts w:hint="eastAsia"/>
        </w:rPr>
        <w:t>智能视频监控报警技术车载终端厂家参照本规范生产产品。</w:t>
      </w:r>
    </w:p>
    <w:p>
      <w:pPr>
        <w:pStyle w:val="97"/>
        <w:rPr>
          <w:rFonts w:hint="eastAsia"/>
          <w:lang w:val="en-US" w:eastAsia="zh-CN"/>
        </w:rPr>
      </w:pPr>
      <w:bookmarkStart w:id="30" w:name="_Toc17642767"/>
      <w:bookmarkStart w:id="31" w:name="_Toc18138015"/>
      <w:bookmarkStart w:id="32" w:name="_Toc17565874"/>
      <w:bookmarkStart w:id="33" w:name="_Toc17563771"/>
      <w:bookmarkStart w:id="34" w:name="_Toc17643072"/>
      <w:bookmarkStart w:id="35" w:name="_Toc17642923"/>
      <w:bookmarkStart w:id="36" w:name="_Toc18102050"/>
      <w:r>
        <w:rPr>
          <w:rFonts w:hint="eastAsia"/>
          <w:lang w:val="en-US" w:eastAsia="zh-CN"/>
        </w:rPr>
        <w:t>规范性引用文件</w:t>
      </w:r>
      <w:bookmarkEnd w:id="30"/>
      <w:bookmarkEnd w:id="31"/>
      <w:bookmarkEnd w:id="32"/>
      <w:bookmarkEnd w:id="33"/>
      <w:bookmarkEnd w:id="34"/>
      <w:bookmarkEnd w:id="35"/>
      <w:bookmarkEnd w:id="36"/>
    </w:p>
    <w:p>
      <w:pPr>
        <w:pStyle w:val="27"/>
        <w:rPr>
          <w:rFonts w:hint="eastAsia"/>
        </w:rPr>
      </w:pPr>
      <w:r>
        <w:rPr>
          <w:rFonts w:hint="eastAsia"/>
        </w:rPr>
        <w:t>下列文件对于本文件的应用是必不可少的。凡是注日期的引用文件，仅所注日期的版本适用于本文件。凡是不注日期的引用文件，其最新版本（包括所有的修改单）适用于本文件。</w:t>
      </w:r>
    </w:p>
    <w:p>
      <w:pPr>
        <w:pStyle w:val="27"/>
      </w:pPr>
      <w:r>
        <w:rPr>
          <w:rFonts w:hint="eastAsia"/>
        </w:rPr>
        <w:t>《交通运输部办公厅关于推广应用智能视频监控报警技术的通知》（交办运〔2018〕115）</w:t>
      </w:r>
    </w:p>
    <w:p>
      <w:pPr>
        <w:pStyle w:val="27"/>
      </w:pPr>
      <w:r>
        <w:t xml:space="preserve">GB/T 20815-2006 </w:t>
      </w:r>
      <w:r>
        <w:rPr>
          <w:rFonts w:hint="eastAsia"/>
        </w:rPr>
        <w:t>视频安防监控数字录像设备</w:t>
      </w:r>
    </w:p>
    <w:p>
      <w:pPr>
        <w:pStyle w:val="27"/>
        <w:rPr>
          <w:rFonts w:hint="eastAsia"/>
        </w:rPr>
      </w:pPr>
      <w:r>
        <w:t xml:space="preserve">GB/T 21437.1-2008/ISO 7637-1:2002 </w:t>
      </w:r>
      <w:r>
        <w:rPr>
          <w:rFonts w:hint="eastAsia"/>
        </w:rPr>
        <w:t>道路车辆由传导和耦合引起的电骚扰</w:t>
      </w:r>
    </w:p>
    <w:p>
      <w:pPr>
        <w:pStyle w:val="27"/>
        <w:rPr>
          <w:rFonts w:hint="eastAsia"/>
        </w:rPr>
      </w:pPr>
      <w:r>
        <w:rPr>
          <w:rFonts w:hint="eastAsia"/>
        </w:rPr>
        <w:t>GB/T 21437.2 道路车辆由传导和耦合引起的电骚扰第2部分：沿电源线的电瞬间传导</w:t>
      </w:r>
    </w:p>
    <w:p>
      <w:pPr>
        <w:pStyle w:val="27"/>
      </w:pPr>
      <w:r>
        <w:rPr>
          <w:rFonts w:hint="eastAsia"/>
        </w:rPr>
        <w:t>GB 5768.3-2009 道路交通标志和标线 第3部分：道路交通标线</w:t>
      </w:r>
    </w:p>
    <w:p>
      <w:pPr>
        <w:pStyle w:val="27"/>
        <w:rPr>
          <w:rFonts w:hint="eastAsia"/>
        </w:rPr>
      </w:pPr>
      <w:r>
        <w:rPr>
          <w:rFonts w:hint="eastAsia"/>
        </w:rPr>
        <w:t>GB 5768.2-2009 道路交通标志和标线 第2部分：道路交通标志</w:t>
      </w:r>
    </w:p>
    <w:p>
      <w:pPr>
        <w:pStyle w:val="27"/>
        <w:rPr>
          <w:rFonts w:hint="eastAsia"/>
        </w:rPr>
      </w:pPr>
      <w:r>
        <w:rPr>
          <w:rFonts w:hint="eastAsia"/>
        </w:rPr>
        <w:t>GB 5768.3-2009 道路交通标志和标线</w:t>
      </w:r>
    </w:p>
    <w:p>
      <w:pPr>
        <w:pStyle w:val="27"/>
        <w:rPr>
          <w:rFonts w:hint="eastAsia"/>
        </w:rPr>
      </w:pPr>
      <w:r>
        <w:rPr>
          <w:rFonts w:hint="eastAsia"/>
        </w:rPr>
        <w:t>GB/T 19056</w:t>
      </w:r>
      <w:r>
        <w:t>-2012</w:t>
      </w:r>
      <w:r>
        <w:rPr>
          <w:rFonts w:hint="eastAsia"/>
        </w:rPr>
        <w:t xml:space="preserve"> 汽车行驶记录仪</w:t>
      </w:r>
    </w:p>
    <w:p>
      <w:pPr>
        <w:pStyle w:val="27"/>
      </w:pPr>
      <w:r>
        <w:rPr>
          <w:rFonts w:hint="eastAsia"/>
        </w:rPr>
        <w:t>JT/T 794-2011 道路运输车辆卫星定位系统车载终端技术要求</w:t>
      </w:r>
    </w:p>
    <w:p>
      <w:pPr>
        <w:pStyle w:val="27"/>
      </w:pPr>
      <w:r>
        <w:rPr>
          <w:rFonts w:hint="eastAsia"/>
        </w:rPr>
        <w:t>JT/T 883-2014 营运车辆行驶危险预警系统技术要求和试验方法</w:t>
      </w:r>
    </w:p>
    <w:p>
      <w:pPr>
        <w:pStyle w:val="27"/>
      </w:pPr>
      <w:r>
        <w:t xml:space="preserve">JT/T 1076-2016 </w:t>
      </w:r>
      <w:r>
        <w:rPr>
          <w:rFonts w:hint="eastAsia"/>
        </w:rPr>
        <w:t>道路运输车辆卫星定位系统车载视频终端技术要求</w:t>
      </w:r>
    </w:p>
    <w:p>
      <w:pPr>
        <w:pStyle w:val="27"/>
      </w:pPr>
      <w:r>
        <w:t xml:space="preserve">JT/T 883-2014  </w:t>
      </w:r>
      <w:r>
        <w:rPr>
          <w:rFonts w:hint="eastAsia"/>
        </w:rPr>
        <w:t>营运车辆行驶危险预警系统技术要求和试验方法</w:t>
      </w:r>
    </w:p>
    <w:p>
      <w:pPr>
        <w:pStyle w:val="97"/>
      </w:pPr>
      <w:bookmarkStart w:id="37" w:name="_Toc17565875"/>
      <w:bookmarkStart w:id="38" w:name="_Toc17642924"/>
      <w:bookmarkStart w:id="39" w:name="_Toc18102051"/>
      <w:bookmarkStart w:id="40" w:name="_Toc17643073"/>
      <w:bookmarkStart w:id="41" w:name="_Toc17563772"/>
      <w:bookmarkStart w:id="42" w:name="_Toc17642768"/>
      <w:bookmarkStart w:id="43" w:name="_Toc18138016"/>
      <w:r>
        <w:rPr>
          <w:rFonts w:hint="eastAsia"/>
        </w:rPr>
        <w:t>术语、定义和缩略语</w:t>
      </w:r>
      <w:bookmarkEnd w:id="37"/>
      <w:bookmarkEnd w:id="38"/>
      <w:bookmarkEnd w:id="39"/>
      <w:bookmarkEnd w:id="40"/>
      <w:bookmarkEnd w:id="41"/>
      <w:bookmarkEnd w:id="42"/>
      <w:bookmarkEnd w:id="43"/>
    </w:p>
    <w:p>
      <w:pPr>
        <w:pStyle w:val="27"/>
        <w:spacing w:before="156" w:after="156"/>
        <w:rPr>
          <w:rFonts w:hint="eastAsia"/>
        </w:rPr>
      </w:pPr>
      <w:r>
        <w:rPr>
          <w:rFonts w:hint="eastAsia"/>
        </w:rPr>
        <w:t>JT/T 794-2011、GB/T 19056-2012、GB/T 20815-2006、GB/T 21437.1-2008、JT/T 883-2014中界定的以及下列术语、定义和缩略语适用于本文件。</w:t>
      </w:r>
      <w:bookmarkStart w:id="44" w:name="_Toc17643075"/>
      <w:bookmarkStart w:id="45" w:name="_Toc13660598"/>
      <w:bookmarkStart w:id="46" w:name="_Toc864"/>
      <w:bookmarkStart w:id="47" w:name="_Toc17642770"/>
      <w:bookmarkStart w:id="48" w:name="_Toc13665005"/>
      <w:bookmarkStart w:id="49" w:name="_Toc17642926"/>
      <w:bookmarkStart w:id="50" w:name="_Toc7109660"/>
    </w:p>
    <w:p>
      <w:pPr>
        <w:pStyle w:val="64"/>
        <w:ind w:hanging="709" w:hangingChars="338"/>
      </w:pPr>
      <w:bookmarkStart w:id="51" w:name="_Toc18102052"/>
      <w:bookmarkEnd w:id="51"/>
      <w:bookmarkStart w:id="52" w:name="_Toc18138017"/>
      <w:bookmarkEnd w:id="52"/>
    </w:p>
    <w:p>
      <w:pPr>
        <w:pStyle w:val="64"/>
        <w:numPr>
          <w:ilvl w:val="0"/>
          <w:numId w:val="0"/>
        </w:numPr>
        <w:ind w:left="420" w:leftChars="200"/>
      </w:pPr>
      <w:bookmarkStart w:id="53" w:name="_Toc18102053"/>
      <w:bookmarkStart w:id="54" w:name="_Toc18138018"/>
      <w:r>
        <w:rPr>
          <w:rFonts w:hint="eastAsia"/>
        </w:rPr>
        <w:t>终端</w:t>
      </w:r>
      <w:bookmarkEnd w:id="53"/>
      <w:bookmarkEnd w:id="54"/>
    </w:p>
    <w:p>
      <w:pPr>
        <w:pStyle w:val="27"/>
      </w:pPr>
      <w:r>
        <w:rPr>
          <w:rFonts w:hint="eastAsia"/>
        </w:rPr>
        <w:t>终端为安装在车辆上满足工作环境要求，并具备高级驾驶辅助系统功能和驾驶员状态监测系统功能等，支持与其他车载电子设备进行通信，提供平台所需信息的车载视频终端。</w:t>
      </w:r>
    </w:p>
    <w:p>
      <w:pPr>
        <w:pStyle w:val="27"/>
      </w:pPr>
    </w:p>
    <w:bookmarkEnd w:id="44"/>
    <w:bookmarkEnd w:id="45"/>
    <w:bookmarkEnd w:id="46"/>
    <w:bookmarkEnd w:id="47"/>
    <w:bookmarkEnd w:id="48"/>
    <w:bookmarkEnd w:id="49"/>
    <w:bookmarkEnd w:id="50"/>
    <w:p>
      <w:pPr>
        <w:pStyle w:val="64"/>
        <w:ind w:hanging="709" w:hangingChars="338"/>
        <w:rPr>
          <w:rFonts w:hint="eastAsia"/>
        </w:rPr>
      </w:pPr>
      <w:bookmarkStart w:id="55" w:name="_Toc18138019"/>
      <w:bookmarkEnd w:id="55"/>
      <w:bookmarkStart w:id="56" w:name="_Toc18102066"/>
      <w:bookmarkEnd w:id="56"/>
      <w:bookmarkStart w:id="57" w:name="_Toc18102068"/>
      <w:bookmarkEnd w:id="57"/>
      <w:bookmarkStart w:id="58" w:name="_Toc17642927"/>
      <w:bookmarkStart w:id="59" w:name="_Toc17643076"/>
      <w:bookmarkStart w:id="60" w:name="_Toc5763"/>
      <w:bookmarkStart w:id="61" w:name="_Toc13660599"/>
      <w:bookmarkStart w:id="62" w:name="_Toc17642771"/>
      <w:bookmarkStart w:id="63" w:name="_Toc7109661"/>
      <w:bookmarkStart w:id="64" w:name="_Toc13665006"/>
    </w:p>
    <w:p>
      <w:pPr>
        <w:pStyle w:val="64"/>
        <w:numPr>
          <w:ilvl w:val="0"/>
          <w:numId w:val="0"/>
        </w:numPr>
        <w:ind w:firstLine="420"/>
      </w:pPr>
      <w:bookmarkStart w:id="65" w:name="_Toc18102069"/>
      <w:bookmarkStart w:id="66" w:name="_Toc18138020"/>
      <w:r>
        <w:rPr>
          <w:rFonts w:hint="eastAsia"/>
        </w:rPr>
        <w:t>主存储器</w:t>
      </w:r>
      <w:bookmarkEnd w:id="58"/>
      <w:bookmarkEnd w:id="59"/>
      <w:bookmarkEnd w:id="60"/>
      <w:bookmarkEnd w:id="61"/>
      <w:bookmarkEnd w:id="62"/>
      <w:bookmarkEnd w:id="63"/>
      <w:bookmarkEnd w:id="64"/>
      <w:bookmarkEnd w:id="65"/>
      <w:bookmarkEnd w:id="66"/>
    </w:p>
    <w:p>
      <w:pPr>
        <w:pStyle w:val="27"/>
        <w:rPr>
          <w:rFonts w:hint="eastAsia"/>
          <w:sz w:val="24"/>
        </w:rPr>
      </w:pPr>
      <w:r>
        <w:rPr>
          <w:rFonts w:hint="eastAsia"/>
        </w:rPr>
        <w:t>智能视频监控报警装置内用于存储所有数据的存储介质及防护装置。</w:t>
      </w:r>
    </w:p>
    <w:p>
      <w:pPr>
        <w:pStyle w:val="64"/>
        <w:ind w:hanging="709" w:hangingChars="338"/>
        <w:rPr>
          <w:rFonts w:hint="eastAsia"/>
        </w:rPr>
      </w:pPr>
      <w:bookmarkStart w:id="67" w:name="_Toc18102070"/>
      <w:bookmarkEnd w:id="67"/>
      <w:bookmarkStart w:id="68" w:name="_Toc18138021"/>
      <w:bookmarkEnd w:id="68"/>
      <w:bookmarkStart w:id="69" w:name="_Toc17642772"/>
      <w:bookmarkStart w:id="70" w:name="_Toc17643077"/>
      <w:bookmarkStart w:id="71" w:name="_Toc7109662"/>
      <w:bookmarkStart w:id="72" w:name="_Toc17642928"/>
      <w:bookmarkStart w:id="73" w:name="_Toc13660600"/>
      <w:bookmarkStart w:id="74" w:name="_Toc5684"/>
      <w:bookmarkStart w:id="75" w:name="_Toc13665007"/>
    </w:p>
    <w:p>
      <w:pPr>
        <w:pStyle w:val="64"/>
        <w:numPr>
          <w:ilvl w:val="0"/>
          <w:numId w:val="0"/>
        </w:numPr>
        <w:ind w:firstLine="420"/>
      </w:pPr>
      <w:bookmarkStart w:id="76" w:name="_Toc18138022"/>
      <w:bookmarkStart w:id="77" w:name="_Toc18102071"/>
      <w:r>
        <w:rPr>
          <w:rFonts w:hint="eastAsia"/>
        </w:rPr>
        <w:t>备份存储器</w:t>
      </w:r>
      <w:bookmarkEnd w:id="69"/>
      <w:bookmarkEnd w:id="70"/>
      <w:bookmarkEnd w:id="71"/>
      <w:bookmarkEnd w:id="72"/>
      <w:bookmarkEnd w:id="73"/>
      <w:bookmarkEnd w:id="74"/>
      <w:bookmarkEnd w:id="75"/>
      <w:bookmarkEnd w:id="76"/>
      <w:bookmarkEnd w:id="77"/>
    </w:p>
    <w:p>
      <w:pPr>
        <w:pStyle w:val="27"/>
        <w:rPr>
          <w:sz w:val="24"/>
        </w:rPr>
      </w:pPr>
      <w:r>
        <w:rPr>
          <w:rFonts w:hint="eastAsia"/>
        </w:rPr>
        <w:t>物理上独立于主存储器，用于特殊情况下保存必要的音视频数据和其它重要数据的存储介质及防护装置。</w:t>
      </w:r>
    </w:p>
    <w:p>
      <w:pPr>
        <w:pStyle w:val="64"/>
        <w:ind w:hanging="709" w:hangingChars="338"/>
        <w:rPr>
          <w:rFonts w:hint="eastAsia"/>
        </w:rPr>
      </w:pPr>
      <w:bookmarkStart w:id="78" w:name="_Toc18138023"/>
      <w:bookmarkEnd w:id="78"/>
      <w:bookmarkStart w:id="79" w:name="_Toc18102072"/>
      <w:bookmarkEnd w:id="79"/>
      <w:bookmarkStart w:id="80" w:name="_Toc7109663"/>
      <w:bookmarkStart w:id="81" w:name="_Toc13660601"/>
      <w:bookmarkStart w:id="82" w:name="_Toc25476"/>
      <w:bookmarkStart w:id="83" w:name="_Toc17642773"/>
      <w:bookmarkStart w:id="84" w:name="_Toc17642929"/>
      <w:bookmarkStart w:id="85" w:name="_Toc17643078"/>
      <w:bookmarkStart w:id="86" w:name="_Toc13665008"/>
    </w:p>
    <w:p>
      <w:pPr>
        <w:pStyle w:val="64"/>
        <w:numPr>
          <w:ilvl w:val="0"/>
          <w:numId w:val="0"/>
        </w:numPr>
        <w:ind w:firstLine="420"/>
      </w:pPr>
      <w:bookmarkStart w:id="87" w:name="_Toc18102073"/>
      <w:bookmarkStart w:id="88" w:name="_Toc18138024"/>
      <w:r>
        <w:rPr>
          <w:rFonts w:hint="eastAsia"/>
        </w:rPr>
        <w:t>外部配件</w:t>
      </w:r>
      <w:bookmarkEnd w:id="80"/>
      <w:bookmarkEnd w:id="81"/>
      <w:bookmarkEnd w:id="82"/>
      <w:bookmarkEnd w:id="83"/>
      <w:bookmarkEnd w:id="84"/>
      <w:bookmarkEnd w:id="85"/>
      <w:bookmarkEnd w:id="86"/>
      <w:bookmarkEnd w:id="87"/>
      <w:bookmarkEnd w:id="88"/>
    </w:p>
    <w:p>
      <w:pPr>
        <w:pStyle w:val="27"/>
        <w:rPr>
          <w:rFonts w:hint="eastAsia"/>
          <w:sz w:val="24"/>
        </w:rPr>
      </w:pPr>
      <w:r>
        <w:rPr>
          <w:rFonts w:hint="eastAsia"/>
        </w:rPr>
        <w:t>为满足标准功能要求所必须使用的除智能视频监控报警装置外其他配件。</w:t>
      </w:r>
    </w:p>
    <w:p>
      <w:pPr>
        <w:pStyle w:val="64"/>
        <w:ind w:hanging="709" w:hangingChars="338"/>
        <w:rPr>
          <w:rFonts w:hint="eastAsia"/>
        </w:rPr>
      </w:pPr>
      <w:bookmarkStart w:id="89" w:name="_Toc18138025"/>
      <w:bookmarkEnd w:id="89"/>
      <w:bookmarkStart w:id="90" w:name="_Toc18102074"/>
      <w:bookmarkEnd w:id="90"/>
      <w:bookmarkStart w:id="91" w:name="_Toc28510"/>
      <w:bookmarkStart w:id="92" w:name="_Toc13660602"/>
      <w:bookmarkStart w:id="93" w:name="_Toc17642774"/>
      <w:bookmarkStart w:id="94" w:name="_Toc7109664"/>
      <w:bookmarkStart w:id="95" w:name="_Toc13665009"/>
      <w:bookmarkStart w:id="96" w:name="_Toc17642930"/>
      <w:bookmarkStart w:id="97" w:name="_Toc17643079"/>
    </w:p>
    <w:p>
      <w:pPr>
        <w:pStyle w:val="64"/>
        <w:numPr>
          <w:ilvl w:val="0"/>
          <w:numId w:val="0"/>
        </w:numPr>
        <w:ind w:firstLine="420"/>
      </w:pPr>
      <w:bookmarkStart w:id="98" w:name="_Toc18102075"/>
      <w:bookmarkStart w:id="99" w:name="_Toc18138026"/>
      <w:r>
        <w:rPr>
          <w:rFonts w:hint="eastAsia"/>
        </w:rPr>
        <w:t>误报率</w:t>
      </w:r>
      <w:bookmarkEnd w:id="91"/>
      <w:bookmarkEnd w:id="92"/>
      <w:bookmarkEnd w:id="93"/>
      <w:bookmarkEnd w:id="94"/>
      <w:bookmarkEnd w:id="95"/>
      <w:bookmarkEnd w:id="96"/>
      <w:bookmarkEnd w:id="97"/>
      <w:bookmarkEnd w:id="98"/>
      <w:bookmarkEnd w:id="99"/>
    </w:p>
    <w:p>
      <w:pPr>
        <w:pStyle w:val="27"/>
        <w:rPr>
          <w:rFonts w:hint="eastAsia"/>
          <w:sz w:val="24"/>
        </w:rPr>
      </w:pPr>
      <w:r>
        <w:rPr>
          <w:rFonts w:hint="eastAsia"/>
        </w:rPr>
        <w:t>测试事件中未出现异常情况，而设备判断为异常情况的概率。</w:t>
      </w:r>
    </w:p>
    <w:p>
      <w:pPr>
        <w:pStyle w:val="64"/>
        <w:ind w:hanging="709" w:hangingChars="338"/>
        <w:rPr>
          <w:rFonts w:hint="eastAsia"/>
        </w:rPr>
      </w:pPr>
      <w:bookmarkStart w:id="100" w:name="_Toc18138027"/>
      <w:bookmarkEnd w:id="100"/>
      <w:bookmarkStart w:id="101" w:name="_Toc18102076"/>
      <w:bookmarkEnd w:id="101"/>
      <w:bookmarkStart w:id="102" w:name="_Toc13665010"/>
      <w:bookmarkStart w:id="103" w:name="_Toc9630"/>
      <w:bookmarkStart w:id="104" w:name="_Toc13660603"/>
      <w:bookmarkStart w:id="105" w:name="_Toc17642775"/>
      <w:bookmarkStart w:id="106" w:name="_Toc17643080"/>
      <w:bookmarkStart w:id="107" w:name="_Toc17642931"/>
      <w:bookmarkStart w:id="108" w:name="_Toc7109665"/>
    </w:p>
    <w:p>
      <w:pPr>
        <w:pStyle w:val="64"/>
        <w:numPr>
          <w:ilvl w:val="0"/>
          <w:numId w:val="0"/>
        </w:numPr>
        <w:ind w:firstLine="420"/>
      </w:pPr>
      <w:bookmarkStart w:id="109" w:name="_Toc18102077"/>
      <w:bookmarkStart w:id="110" w:name="_Toc18138028"/>
      <w:r>
        <w:rPr>
          <w:rFonts w:hint="eastAsia"/>
        </w:rPr>
        <w:t>漏检率</w:t>
      </w:r>
      <w:bookmarkEnd w:id="102"/>
      <w:bookmarkEnd w:id="103"/>
      <w:bookmarkEnd w:id="104"/>
      <w:bookmarkEnd w:id="105"/>
      <w:bookmarkEnd w:id="106"/>
      <w:bookmarkEnd w:id="107"/>
      <w:bookmarkEnd w:id="108"/>
      <w:bookmarkEnd w:id="109"/>
      <w:bookmarkEnd w:id="110"/>
    </w:p>
    <w:p>
      <w:pPr>
        <w:pStyle w:val="27"/>
        <w:rPr>
          <w:rFonts w:hint="eastAsia"/>
        </w:rPr>
      </w:pPr>
      <w:r>
        <w:rPr>
          <w:rFonts w:hint="eastAsia"/>
        </w:rPr>
        <w:t>测试事件中出现异常情况，而设备未能判断为异常情况的概率。</w:t>
      </w:r>
      <w:bookmarkStart w:id="111" w:name="page3"/>
      <w:bookmarkEnd w:id="111"/>
    </w:p>
    <w:p>
      <w:pPr>
        <w:pStyle w:val="64"/>
        <w:ind w:hanging="709" w:hangingChars="338"/>
        <w:rPr>
          <w:rFonts w:hint="eastAsia"/>
        </w:rPr>
      </w:pPr>
      <w:bookmarkStart w:id="112" w:name="_Toc18138029"/>
      <w:bookmarkEnd w:id="112"/>
      <w:bookmarkStart w:id="113" w:name="_Toc18102061"/>
    </w:p>
    <w:p>
      <w:pPr>
        <w:pStyle w:val="64"/>
        <w:numPr>
          <w:ilvl w:val="0"/>
          <w:numId w:val="0"/>
        </w:numPr>
        <w:ind w:left="-710" w:leftChars="-338" w:firstLine="1129" w:firstLineChars="538"/>
        <w:rPr>
          <w:rFonts w:hint="eastAsia"/>
        </w:rPr>
      </w:pPr>
      <w:bookmarkStart w:id="114" w:name="_Toc18138030"/>
      <w:r>
        <w:rPr>
          <w:rFonts w:hint="eastAsia"/>
        </w:rPr>
        <w:t>正确报警</w:t>
      </w:r>
      <w:bookmarkEnd w:id="113"/>
      <w:bookmarkEnd w:id="114"/>
    </w:p>
    <w:p>
      <w:pPr>
        <w:pStyle w:val="27"/>
        <w:rPr>
          <w:rFonts w:hint="eastAsia"/>
        </w:rPr>
      </w:pPr>
      <w:r>
        <w:rPr>
          <w:rFonts w:hint="eastAsia"/>
        </w:rPr>
        <w:t>终端在满足报警条件时，准确地发出对应报警且上传报警信息，并按要求实现本地存储和远程存储的报警情况。</w:t>
      </w:r>
    </w:p>
    <w:p>
      <w:pPr>
        <w:pStyle w:val="64"/>
        <w:ind w:hanging="709" w:hangingChars="338"/>
        <w:rPr>
          <w:rFonts w:hint="eastAsia"/>
        </w:rPr>
      </w:pPr>
      <w:bookmarkStart w:id="115" w:name="_Toc18138031"/>
      <w:bookmarkEnd w:id="115"/>
      <w:bookmarkStart w:id="116" w:name="_Toc18102067"/>
    </w:p>
    <w:p>
      <w:pPr>
        <w:pStyle w:val="64"/>
        <w:numPr>
          <w:ilvl w:val="0"/>
          <w:numId w:val="0"/>
        </w:numPr>
        <w:ind w:left="-710" w:leftChars="-338" w:firstLine="1129" w:firstLineChars="538"/>
        <w:rPr>
          <w:rFonts w:hint="eastAsia"/>
        </w:rPr>
      </w:pPr>
      <w:bookmarkStart w:id="117" w:name="_Toc18138032"/>
      <w:r>
        <w:rPr>
          <w:rFonts w:hint="eastAsia"/>
        </w:rPr>
        <w:t>异常音视频</w:t>
      </w:r>
      <w:bookmarkEnd w:id="116"/>
      <w:bookmarkEnd w:id="117"/>
    </w:p>
    <w:p>
      <w:pPr>
        <w:pStyle w:val="27"/>
        <w:rPr>
          <w:rFonts w:hint="eastAsia"/>
          <w:sz w:val="24"/>
        </w:rPr>
      </w:pPr>
      <w:r>
        <w:rPr>
          <w:rFonts w:hint="eastAsia"/>
        </w:rPr>
        <w:t xml:space="preserve">异常音视频是指发生异常状态前、后指定时长的音视频，该时长不得少于 </w:t>
      </w:r>
      <w:r>
        <w:rPr>
          <w:rFonts w:eastAsia="Calibri"/>
        </w:rPr>
        <w:t>10</w:t>
      </w:r>
      <w:r>
        <w:rPr>
          <w:rFonts w:hint="eastAsia"/>
        </w:rPr>
        <w:t xml:space="preserve"> 秒且可配置。异常状态包括但不限于碰撞、侧翻、前向碰撞预警、道路偏离预警、车距过近报警、驾驶员抽烟打电话、疲劳驾驶等。</w:t>
      </w:r>
    </w:p>
    <w:p>
      <w:pPr>
        <w:pStyle w:val="64"/>
        <w:ind w:hanging="709" w:hangingChars="338"/>
        <w:rPr>
          <w:rFonts w:hint="eastAsia"/>
        </w:rPr>
      </w:pPr>
      <w:bookmarkStart w:id="118" w:name="_Toc18102078"/>
      <w:bookmarkEnd w:id="118"/>
      <w:bookmarkStart w:id="119" w:name="_Toc18138033"/>
      <w:bookmarkEnd w:id="119"/>
      <w:bookmarkStart w:id="120" w:name="_Toc13665011"/>
      <w:bookmarkStart w:id="121" w:name="_Toc13660604"/>
      <w:bookmarkStart w:id="122" w:name="_Toc5607"/>
      <w:bookmarkStart w:id="123" w:name="_Toc17642932"/>
      <w:bookmarkStart w:id="124" w:name="_Toc17643081"/>
      <w:bookmarkStart w:id="125" w:name="_Toc17642776"/>
    </w:p>
    <w:p>
      <w:pPr>
        <w:pStyle w:val="64"/>
        <w:numPr>
          <w:ilvl w:val="0"/>
          <w:numId w:val="0"/>
        </w:numPr>
        <w:ind w:firstLine="420"/>
      </w:pPr>
      <w:bookmarkStart w:id="126" w:name="_Toc18138034"/>
      <w:bookmarkStart w:id="127" w:name="_Toc18102079"/>
      <w:r>
        <w:rPr>
          <w:rFonts w:hint="eastAsia"/>
        </w:rPr>
        <w:t>车辆运行监测功能</w:t>
      </w:r>
      <w:bookmarkEnd w:id="120"/>
      <w:bookmarkEnd w:id="121"/>
      <w:bookmarkEnd w:id="122"/>
      <w:bookmarkEnd w:id="123"/>
      <w:bookmarkEnd w:id="124"/>
      <w:bookmarkEnd w:id="125"/>
      <w:bookmarkEnd w:id="126"/>
      <w:bookmarkEnd w:id="127"/>
    </w:p>
    <w:p>
      <w:pPr>
        <w:pStyle w:val="27"/>
        <w:rPr>
          <w:sz w:val="24"/>
        </w:rPr>
      </w:pPr>
      <w:r>
        <w:rPr>
          <w:rFonts w:hint="eastAsia"/>
        </w:rPr>
        <w:t xml:space="preserve">车辆运行监测功能 </w:t>
      </w:r>
      <w:r>
        <w:rPr>
          <w:rFonts w:eastAsia="Calibri"/>
        </w:rPr>
        <w:t>(Advanced Driver Assistant System</w:t>
      </w:r>
      <w:r>
        <w:rPr>
          <w:rFonts w:hint="eastAsia"/>
        </w:rPr>
        <w:t>，</w:t>
      </w:r>
      <w:r>
        <w:rPr>
          <w:rFonts w:eastAsia="Calibri"/>
        </w:rPr>
        <w:t>ADAS)</w:t>
      </w:r>
      <w:r>
        <w:rPr>
          <w:rFonts w:hint="eastAsia"/>
        </w:rPr>
        <w:t>，利用安装在车上的传感器，在汽车行驶过程中实时感应周围的环境，收集数据，并进行运算与分析，能够提前知道驾驶中可能发生的危险，并提醒驾驶员的功能。</w:t>
      </w:r>
    </w:p>
    <w:p>
      <w:pPr>
        <w:pStyle w:val="64"/>
        <w:ind w:hanging="709" w:hangingChars="338"/>
        <w:rPr>
          <w:rFonts w:hint="eastAsia"/>
        </w:rPr>
      </w:pPr>
      <w:bookmarkStart w:id="128" w:name="_Toc18138035"/>
      <w:bookmarkEnd w:id="128"/>
      <w:bookmarkStart w:id="129" w:name="_Toc18102080"/>
      <w:bookmarkEnd w:id="129"/>
      <w:bookmarkStart w:id="130" w:name="_Toc13665012"/>
      <w:bookmarkStart w:id="131" w:name="_Toc13660605"/>
      <w:bookmarkStart w:id="132" w:name="_Toc17642777"/>
      <w:bookmarkStart w:id="133" w:name="_Toc27298"/>
      <w:bookmarkStart w:id="134" w:name="_Toc17642933"/>
      <w:bookmarkStart w:id="135" w:name="_Toc17643082"/>
    </w:p>
    <w:p>
      <w:pPr>
        <w:pStyle w:val="64"/>
        <w:numPr>
          <w:ilvl w:val="0"/>
          <w:numId w:val="0"/>
        </w:numPr>
        <w:ind w:firstLine="420"/>
      </w:pPr>
      <w:bookmarkStart w:id="136" w:name="_Toc18138036"/>
      <w:bookmarkStart w:id="137" w:name="_Toc18102081"/>
      <w:r>
        <w:rPr>
          <w:rFonts w:hint="eastAsia"/>
        </w:rPr>
        <w:t>驾驶员驾驶行为监测</w:t>
      </w:r>
      <w:r>
        <w:t>功能</w:t>
      </w:r>
      <w:bookmarkEnd w:id="130"/>
      <w:bookmarkEnd w:id="131"/>
      <w:bookmarkEnd w:id="132"/>
      <w:bookmarkEnd w:id="133"/>
      <w:bookmarkEnd w:id="134"/>
      <w:bookmarkEnd w:id="135"/>
      <w:bookmarkEnd w:id="136"/>
      <w:bookmarkEnd w:id="137"/>
    </w:p>
    <w:p>
      <w:pPr>
        <w:pStyle w:val="27"/>
        <w:rPr>
          <w:sz w:val="24"/>
        </w:rPr>
      </w:pPr>
      <w:r>
        <w:rPr>
          <w:rFonts w:hint="eastAsia"/>
        </w:rPr>
        <w:t>利用安装在车上的传感器，在驾驶员驾驶过程中，通过非接触的方式，实时监控驾驶员的状态，能够检测到驾驶员危险驾驶行为，并提醒驾驶员的设备或功能。</w:t>
      </w:r>
    </w:p>
    <w:p>
      <w:pPr>
        <w:pStyle w:val="64"/>
        <w:ind w:hanging="709" w:hangingChars="338"/>
        <w:rPr>
          <w:rFonts w:hint="eastAsia"/>
        </w:rPr>
      </w:pPr>
      <w:bookmarkStart w:id="138" w:name="_Toc18138037"/>
      <w:bookmarkEnd w:id="138"/>
      <w:bookmarkStart w:id="139" w:name="_Toc18102082"/>
      <w:bookmarkEnd w:id="139"/>
      <w:bookmarkStart w:id="140" w:name="_Toc8088"/>
      <w:bookmarkStart w:id="141" w:name="_Toc13660606"/>
      <w:bookmarkStart w:id="142" w:name="_Toc13665013"/>
      <w:bookmarkStart w:id="143" w:name="_Toc7109668"/>
      <w:bookmarkStart w:id="144" w:name="_Toc17642778"/>
      <w:bookmarkStart w:id="145" w:name="_Toc17642934"/>
      <w:bookmarkStart w:id="146" w:name="_Toc17643083"/>
    </w:p>
    <w:p>
      <w:pPr>
        <w:pStyle w:val="64"/>
        <w:numPr>
          <w:ilvl w:val="0"/>
          <w:numId w:val="0"/>
        </w:numPr>
        <w:ind w:firstLine="420"/>
      </w:pPr>
      <w:bookmarkStart w:id="147" w:name="_Toc18102083"/>
      <w:bookmarkStart w:id="148" w:name="_Toc18138038"/>
      <w:r>
        <w:rPr>
          <w:rFonts w:hint="eastAsia"/>
        </w:rPr>
        <w:t>车道偏离</w:t>
      </w:r>
      <w:bookmarkEnd w:id="140"/>
      <w:bookmarkEnd w:id="141"/>
      <w:bookmarkEnd w:id="142"/>
      <w:bookmarkEnd w:id="143"/>
      <w:bookmarkEnd w:id="144"/>
      <w:bookmarkEnd w:id="145"/>
      <w:bookmarkEnd w:id="146"/>
      <w:bookmarkEnd w:id="147"/>
      <w:bookmarkEnd w:id="148"/>
    </w:p>
    <w:p>
      <w:pPr>
        <w:pStyle w:val="27"/>
        <w:rPr>
          <w:sz w:val="24"/>
        </w:rPr>
      </w:pPr>
      <w:r>
        <w:rPr>
          <w:rFonts w:hint="eastAsia"/>
        </w:rPr>
        <w:t>车辆在行驶过程中，未操作转向指示灯的情况下，车辆其中一个前轮的外边缘正在越过车道边界的状态。</w:t>
      </w:r>
    </w:p>
    <w:p>
      <w:pPr>
        <w:pStyle w:val="64"/>
        <w:ind w:hanging="709" w:hangingChars="338"/>
        <w:rPr>
          <w:rFonts w:hint="eastAsia"/>
        </w:rPr>
      </w:pPr>
      <w:bookmarkStart w:id="149" w:name="_Toc18138039"/>
      <w:bookmarkEnd w:id="149"/>
      <w:bookmarkStart w:id="150" w:name="_Toc18102084"/>
      <w:bookmarkEnd w:id="150"/>
      <w:bookmarkStart w:id="151" w:name="_Toc15217"/>
      <w:bookmarkStart w:id="152" w:name="_Toc13660607"/>
      <w:bookmarkStart w:id="153" w:name="_Toc17642935"/>
      <w:bookmarkStart w:id="154" w:name="_Toc7109669"/>
      <w:bookmarkStart w:id="155" w:name="_Toc13665014"/>
      <w:bookmarkStart w:id="156" w:name="_Toc17643084"/>
      <w:bookmarkStart w:id="157" w:name="_Toc17642779"/>
    </w:p>
    <w:p>
      <w:pPr>
        <w:pStyle w:val="64"/>
        <w:numPr>
          <w:ilvl w:val="0"/>
          <w:numId w:val="0"/>
        </w:numPr>
        <w:ind w:firstLine="420"/>
      </w:pPr>
      <w:bookmarkStart w:id="158" w:name="_Toc18138040"/>
      <w:bookmarkStart w:id="159" w:name="_Toc18102085"/>
      <w:r>
        <w:rPr>
          <w:rFonts w:hint="eastAsia"/>
        </w:rPr>
        <w:t>碰撞时间</w:t>
      </w:r>
      <w:bookmarkEnd w:id="151"/>
      <w:bookmarkEnd w:id="152"/>
      <w:bookmarkEnd w:id="153"/>
      <w:bookmarkEnd w:id="154"/>
      <w:bookmarkEnd w:id="155"/>
      <w:bookmarkEnd w:id="156"/>
      <w:bookmarkEnd w:id="157"/>
      <w:bookmarkEnd w:id="158"/>
      <w:bookmarkEnd w:id="159"/>
    </w:p>
    <w:p>
      <w:pPr>
        <w:pStyle w:val="27"/>
        <w:rPr>
          <w:sz w:val="24"/>
        </w:rPr>
      </w:pPr>
      <w:r>
        <w:rPr>
          <w:rFonts w:hint="eastAsia"/>
        </w:rPr>
        <w:t>在当前接近速度保持不变的情况下，自车与目标车辆发生碰撞所需的时间。碰撞时间用自车与目标车辆的间距除以它的相对车速计算得到。</w:t>
      </w:r>
    </w:p>
    <w:p>
      <w:pPr>
        <w:pStyle w:val="64"/>
        <w:ind w:hanging="709" w:hangingChars="338"/>
        <w:rPr>
          <w:rFonts w:hint="eastAsia"/>
        </w:rPr>
      </w:pPr>
      <w:bookmarkStart w:id="160" w:name="_Toc18102086"/>
      <w:bookmarkEnd w:id="160"/>
      <w:bookmarkStart w:id="161" w:name="_Toc18138041"/>
      <w:bookmarkEnd w:id="161"/>
      <w:bookmarkStart w:id="162" w:name="_Toc31529"/>
      <w:bookmarkStart w:id="163" w:name="_Toc17642780"/>
      <w:bookmarkStart w:id="164" w:name="_Toc17643085"/>
      <w:bookmarkStart w:id="165" w:name="_Toc13660608"/>
      <w:bookmarkStart w:id="166" w:name="_Toc17642936"/>
      <w:bookmarkStart w:id="167" w:name="_Toc13665015"/>
      <w:bookmarkStart w:id="168" w:name="_Toc7109670"/>
    </w:p>
    <w:p>
      <w:pPr>
        <w:pStyle w:val="64"/>
        <w:numPr>
          <w:ilvl w:val="0"/>
          <w:numId w:val="0"/>
        </w:numPr>
        <w:ind w:firstLine="420"/>
      </w:pPr>
      <w:bookmarkStart w:id="169" w:name="_Toc18102087"/>
      <w:bookmarkStart w:id="170" w:name="_Toc18138042"/>
      <w:r>
        <w:rPr>
          <w:rFonts w:hint="eastAsia"/>
        </w:rPr>
        <w:t>疲劳驾驶</w:t>
      </w:r>
      <w:bookmarkEnd w:id="162"/>
      <w:bookmarkEnd w:id="163"/>
      <w:bookmarkEnd w:id="164"/>
      <w:bookmarkEnd w:id="165"/>
      <w:bookmarkEnd w:id="166"/>
      <w:bookmarkEnd w:id="167"/>
      <w:bookmarkEnd w:id="168"/>
      <w:bookmarkEnd w:id="169"/>
      <w:bookmarkEnd w:id="170"/>
    </w:p>
    <w:p>
      <w:pPr>
        <w:pStyle w:val="27"/>
        <w:rPr>
          <w:rFonts w:hint="eastAsia"/>
          <w:sz w:val="24"/>
        </w:rPr>
      </w:pPr>
      <w:r>
        <w:rPr>
          <w:rFonts w:hint="eastAsia"/>
        </w:rPr>
        <w:t>由驾驶员缺少休息或长时间驾驶等原因引起的，驾驶车辆时出现反应时间变长、视力与协调性变差、判断出错以及处理外界信息延迟等现象的驾驶状态。</w:t>
      </w:r>
    </w:p>
    <w:p>
      <w:pPr>
        <w:pStyle w:val="64"/>
        <w:ind w:hanging="709" w:hangingChars="338"/>
        <w:rPr>
          <w:rFonts w:hint="eastAsia"/>
        </w:rPr>
      </w:pPr>
      <w:bookmarkStart w:id="171" w:name="_Toc18102088"/>
      <w:bookmarkEnd w:id="171"/>
      <w:bookmarkStart w:id="172" w:name="_Toc18138043"/>
      <w:bookmarkEnd w:id="172"/>
      <w:bookmarkStart w:id="173" w:name="_Toc30701"/>
      <w:bookmarkStart w:id="174" w:name="_Toc17642937"/>
      <w:bookmarkStart w:id="175" w:name="_Toc17643086"/>
      <w:bookmarkStart w:id="176" w:name="_Toc17642781"/>
      <w:bookmarkStart w:id="177" w:name="_Toc7109671"/>
      <w:bookmarkStart w:id="178" w:name="_Toc13660609"/>
      <w:bookmarkStart w:id="179" w:name="_Toc13665016"/>
    </w:p>
    <w:p>
      <w:pPr>
        <w:pStyle w:val="64"/>
        <w:numPr>
          <w:ilvl w:val="0"/>
          <w:numId w:val="0"/>
        </w:numPr>
        <w:ind w:firstLine="420"/>
      </w:pPr>
      <w:bookmarkStart w:id="180" w:name="_Toc18138044"/>
      <w:bookmarkStart w:id="181" w:name="_Toc18102089"/>
      <w:r>
        <w:rPr>
          <w:rFonts w:hint="eastAsia"/>
        </w:rPr>
        <w:t>不目视</w:t>
      </w:r>
      <w:r>
        <w:t>前方驾驶</w:t>
      </w:r>
      <w:bookmarkEnd w:id="173"/>
      <w:bookmarkEnd w:id="174"/>
      <w:bookmarkEnd w:id="175"/>
      <w:bookmarkEnd w:id="176"/>
      <w:bookmarkEnd w:id="177"/>
      <w:bookmarkEnd w:id="178"/>
      <w:bookmarkEnd w:id="179"/>
      <w:bookmarkEnd w:id="180"/>
      <w:bookmarkEnd w:id="181"/>
    </w:p>
    <w:p>
      <w:pPr>
        <w:overflowPunct w:val="0"/>
        <w:spacing w:line="288" w:lineRule="auto"/>
        <w:ind w:firstLine="420"/>
        <w:jc w:val="left"/>
        <w:rPr>
          <w:rFonts w:hint="eastAsia"/>
          <w:sz w:val="24"/>
        </w:rPr>
      </w:pPr>
      <w:r>
        <w:rPr>
          <w:rFonts w:hint="eastAsia" w:ascii="宋体"/>
          <w:kern w:val="0"/>
          <w:szCs w:val="20"/>
          <w:lang w:val="en-US" w:eastAsia="zh-CN"/>
        </w:rPr>
        <w:t>驾驶员在驾驶过程中，因注意力未集中于观察前方道路状况而可能导致危险的驾驶状态，该驾驶状态包括但不限于低头、左顾右盼等。</w:t>
      </w:r>
    </w:p>
    <w:p>
      <w:pPr>
        <w:pStyle w:val="64"/>
        <w:ind w:hanging="709" w:hangingChars="338"/>
        <w:rPr>
          <w:rFonts w:hint="eastAsia"/>
        </w:rPr>
      </w:pPr>
      <w:bookmarkStart w:id="182" w:name="_Toc18138045"/>
      <w:bookmarkEnd w:id="182"/>
      <w:bookmarkStart w:id="183" w:name="_Toc18102090"/>
      <w:bookmarkEnd w:id="183"/>
      <w:bookmarkStart w:id="184" w:name="_Toc7109672"/>
      <w:bookmarkStart w:id="185" w:name="_Toc13665017"/>
      <w:bookmarkStart w:id="186" w:name="_Toc17642782"/>
      <w:bookmarkStart w:id="187" w:name="_Toc13660610"/>
      <w:bookmarkStart w:id="188" w:name="_Toc17643087"/>
      <w:bookmarkStart w:id="189" w:name="_Toc17642938"/>
      <w:bookmarkStart w:id="190" w:name="_Toc11471"/>
    </w:p>
    <w:p>
      <w:pPr>
        <w:pStyle w:val="64"/>
        <w:numPr>
          <w:ilvl w:val="0"/>
          <w:numId w:val="0"/>
        </w:numPr>
        <w:ind w:firstLine="420"/>
      </w:pPr>
      <w:bookmarkStart w:id="191" w:name="_Toc18102091"/>
      <w:bookmarkStart w:id="192" w:name="_Toc18138046"/>
      <w:r>
        <w:rPr>
          <w:rFonts w:hint="eastAsia"/>
        </w:rPr>
        <w:t>驾驶员不在位置</w:t>
      </w:r>
      <w:bookmarkEnd w:id="184"/>
      <w:bookmarkEnd w:id="185"/>
      <w:bookmarkEnd w:id="186"/>
      <w:bookmarkEnd w:id="187"/>
      <w:bookmarkEnd w:id="188"/>
      <w:bookmarkEnd w:id="189"/>
      <w:bookmarkEnd w:id="190"/>
      <w:bookmarkEnd w:id="191"/>
      <w:bookmarkEnd w:id="192"/>
    </w:p>
    <w:p>
      <w:pPr>
        <w:pStyle w:val="27"/>
        <w:rPr>
          <w:rFonts w:hint="eastAsia"/>
          <w:sz w:val="24"/>
        </w:rPr>
      </w:pPr>
      <w:r>
        <w:rPr>
          <w:rFonts w:hint="eastAsia"/>
        </w:rPr>
        <w:t>车辆行驶过程中，用于检测驾驶员状态的摄像头未检测到驾驶员面部特征达到一定时长的情形。</w:t>
      </w:r>
    </w:p>
    <w:p>
      <w:pPr>
        <w:pStyle w:val="64"/>
        <w:ind w:hanging="709" w:hangingChars="338"/>
        <w:rPr>
          <w:rFonts w:hint="eastAsia"/>
        </w:rPr>
      </w:pPr>
      <w:bookmarkStart w:id="193" w:name="_Toc18138047"/>
      <w:bookmarkEnd w:id="193"/>
      <w:bookmarkStart w:id="194" w:name="_Toc18102092"/>
      <w:bookmarkEnd w:id="194"/>
      <w:bookmarkStart w:id="195" w:name="_Toc17643088"/>
      <w:bookmarkStart w:id="196" w:name="_Toc17642783"/>
      <w:bookmarkStart w:id="197" w:name="_Toc13665018"/>
      <w:bookmarkStart w:id="198" w:name="_Toc7109673"/>
      <w:bookmarkStart w:id="199" w:name="_Toc13660611"/>
      <w:bookmarkStart w:id="200" w:name="_Toc12233"/>
      <w:bookmarkStart w:id="201" w:name="_Toc17642939"/>
    </w:p>
    <w:p>
      <w:pPr>
        <w:pStyle w:val="64"/>
        <w:numPr>
          <w:ilvl w:val="0"/>
          <w:numId w:val="0"/>
        </w:numPr>
        <w:ind w:firstLine="420"/>
      </w:pPr>
      <w:bookmarkStart w:id="202" w:name="_Toc18102093"/>
      <w:bookmarkStart w:id="203" w:name="_Toc18138048"/>
      <w:r>
        <w:rPr>
          <w:rFonts w:hint="eastAsia"/>
        </w:rPr>
        <w:t>双手同时</w:t>
      </w:r>
      <w:r>
        <w:t>脱离方向盘</w:t>
      </w:r>
      <w:bookmarkEnd w:id="195"/>
      <w:bookmarkEnd w:id="196"/>
      <w:bookmarkEnd w:id="197"/>
      <w:bookmarkEnd w:id="198"/>
      <w:bookmarkEnd w:id="199"/>
      <w:bookmarkEnd w:id="200"/>
      <w:bookmarkEnd w:id="201"/>
      <w:bookmarkEnd w:id="202"/>
      <w:bookmarkEnd w:id="203"/>
    </w:p>
    <w:p>
      <w:pPr>
        <w:pStyle w:val="27"/>
      </w:pPr>
      <w:r>
        <w:rPr>
          <w:rFonts w:hint="eastAsia"/>
        </w:rPr>
        <w:t>驾驶员在驾驶过程中，双手脱离</w:t>
      </w:r>
      <w:r>
        <w:t>方向盘</w:t>
      </w:r>
      <w:r>
        <w:rPr>
          <w:rFonts w:hint="eastAsia"/>
        </w:rPr>
        <w:t>，</w:t>
      </w:r>
      <w:r>
        <w:t>对</w:t>
      </w:r>
      <w:r>
        <w:rPr>
          <w:rFonts w:hint="eastAsia"/>
        </w:rPr>
        <w:t>车辆</w:t>
      </w:r>
      <w:r>
        <w:t>方向盘</w:t>
      </w:r>
      <w:r>
        <w:rPr>
          <w:rFonts w:hint="eastAsia"/>
        </w:rPr>
        <w:t>未</w:t>
      </w:r>
      <w:r>
        <w:t>控制的状态</w:t>
      </w:r>
      <w:r>
        <w:rPr>
          <w:rFonts w:hint="eastAsia"/>
        </w:rPr>
        <w:t>。</w:t>
      </w:r>
    </w:p>
    <w:p>
      <w:pPr>
        <w:pStyle w:val="64"/>
        <w:ind w:hanging="709" w:hangingChars="338"/>
        <w:rPr>
          <w:rFonts w:hint="eastAsia"/>
        </w:rPr>
      </w:pPr>
      <w:bookmarkStart w:id="204" w:name="_Toc18102094"/>
      <w:bookmarkEnd w:id="204"/>
      <w:bookmarkStart w:id="205" w:name="_Toc18138049"/>
      <w:bookmarkEnd w:id="205"/>
      <w:bookmarkStart w:id="206" w:name="_Toc6243"/>
      <w:bookmarkStart w:id="207" w:name="_Toc7109674"/>
      <w:bookmarkStart w:id="208" w:name="_Toc13665019"/>
      <w:bookmarkStart w:id="209" w:name="_Toc17642940"/>
      <w:bookmarkStart w:id="210" w:name="_Toc17643089"/>
      <w:bookmarkStart w:id="211" w:name="_Toc17642784"/>
      <w:bookmarkStart w:id="212" w:name="_Toc13660612"/>
    </w:p>
    <w:p>
      <w:pPr>
        <w:pStyle w:val="64"/>
        <w:numPr>
          <w:ilvl w:val="0"/>
          <w:numId w:val="0"/>
        </w:numPr>
        <w:ind w:firstLine="420"/>
      </w:pPr>
      <w:bookmarkStart w:id="213" w:name="_Toc18138050"/>
      <w:bookmarkStart w:id="214" w:name="_Toc18102095"/>
      <w:r>
        <w:rPr>
          <w:rFonts w:hint="eastAsia"/>
        </w:rPr>
        <w:t>红外</w:t>
      </w:r>
      <w:r>
        <w:t>阻断</w:t>
      </w:r>
      <w:r>
        <w:rPr>
          <w:rFonts w:hint="eastAsia"/>
        </w:rPr>
        <w:t>型</w:t>
      </w:r>
      <w:r>
        <w:t>墨镜失效</w:t>
      </w:r>
      <w:bookmarkEnd w:id="206"/>
      <w:bookmarkEnd w:id="207"/>
      <w:bookmarkEnd w:id="208"/>
      <w:bookmarkEnd w:id="209"/>
      <w:bookmarkEnd w:id="210"/>
      <w:bookmarkEnd w:id="211"/>
      <w:bookmarkEnd w:id="212"/>
      <w:bookmarkEnd w:id="213"/>
      <w:bookmarkEnd w:id="214"/>
    </w:p>
    <w:p>
      <w:pPr>
        <w:pStyle w:val="27"/>
      </w:pPr>
      <w:r>
        <w:rPr>
          <w:rFonts w:hint="eastAsia"/>
        </w:rPr>
        <w:t>由于驾驶员</w:t>
      </w:r>
      <w:r>
        <w:t>佩戴红外无法穿透的超</w:t>
      </w:r>
      <w:r>
        <w:rPr>
          <w:rFonts w:hint="eastAsia"/>
        </w:rPr>
        <w:t>规墨镜</w:t>
      </w:r>
      <w:r>
        <w:t>造成</w:t>
      </w:r>
      <w:r>
        <w:rPr>
          <w:rFonts w:hint="eastAsia"/>
        </w:rPr>
        <w:t>驾驶</w:t>
      </w:r>
      <w:r>
        <w:t>状态</w:t>
      </w:r>
      <w:r>
        <w:rPr>
          <w:rFonts w:hint="eastAsia"/>
        </w:rPr>
        <w:t>监测</w:t>
      </w:r>
      <w:r>
        <w:t>系统失效的</w:t>
      </w:r>
      <w:r>
        <w:rPr>
          <w:rFonts w:hint="eastAsia"/>
        </w:rPr>
        <w:t>情形</w:t>
      </w:r>
      <w:r>
        <w:t>。</w:t>
      </w:r>
    </w:p>
    <w:p>
      <w:pPr>
        <w:pStyle w:val="64"/>
        <w:ind w:hanging="709" w:hangingChars="338"/>
        <w:rPr>
          <w:rFonts w:hint="eastAsia"/>
        </w:rPr>
      </w:pPr>
      <w:bookmarkStart w:id="215" w:name="_Toc18102096"/>
      <w:bookmarkEnd w:id="215"/>
      <w:bookmarkStart w:id="216" w:name="_Toc18138051"/>
      <w:bookmarkEnd w:id="216"/>
      <w:bookmarkStart w:id="217" w:name="_Toc17565877"/>
      <w:bookmarkStart w:id="218" w:name="_Toc5767_WPSOffice_Level1"/>
      <w:bookmarkStart w:id="219" w:name="_Toc7109676"/>
      <w:bookmarkStart w:id="220" w:name="_Toc14653_WPSOffice_Level1"/>
      <w:bookmarkStart w:id="221" w:name="_Toc17643090"/>
      <w:bookmarkStart w:id="222" w:name="_Toc17563774"/>
      <w:bookmarkStart w:id="223" w:name="_Toc18096"/>
      <w:bookmarkStart w:id="224" w:name="_Toc17642941"/>
      <w:bookmarkStart w:id="225" w:name="_Toc13665020"/>
      <w:bookmarkStart w:id="226" w:name="_Toc17642785"/>
    </w:p>
    <w:p>
      <w:pPr>
        <w:pStyle w:val="64"/>
        <w:numPr>
          <w:ilvl w:val="0"/>
          <w:numId w:val="0"/>
        </w:numPr>
        <w:ind w:firstLine="420"/>
      </w:pPr>
      <w:bookmarkStart w:id="227" w:name="_Toc18102054"/>
      <w:bookmarkEnd w:id="227"/>
      <w:bookmarkStart w:id="228" w:name="_Toc18102055"/>
      <w:bookmarkStart w:id="229" w:name="_Toc18138052"/>
      <w:r>
        <w:rPr>
          <w:rFonts w:hint="eastAsia"/>
        </w:rPr>
        <w:t>驾驶员驾驶行为监测功能</w:t>
      </w:r>
      <w:bookmarkEnd w:id="228"/>
      <w:bookmarkEnd w:id="229"/>
      <w:r>
        <w:rPr>
          <w:rFonts w:hint="eastAsia"/>
        </w:rPr>
        <w:t xml:space="preserve"> </w:t>
      </w:r>
    </w:p>
    <w:p>
      <w:pPr>
        <w:pStyle w:val="27"/>
      </w:pPr>
      <w:r>
        <w:rPr>
          <w:rFonts w:hint="eastAsia"/>
        </w:rPr>
        <w:t>利用安装在车上的传感器，在驾驶员驾驶过程中，通过接触或非接触的方式，实时监控驾驶员的状态，能够检测到驾驶员危险驾驶行为并提醒驾驶员的功能。</w:t>
      </w:r>
    </w:p>
    <w:p>
      <w:pPr>
        <w:pStyle w:val="64"/>
        <w:ind w:hanging="709" w:hangingChars="338"/>
      </w:pPr>
      <w:bookmarkStart w:id="230" w:name="_Toc18102056"/>
      <w:bookmarkEnd w:id="230"/>
      <w:bookmarkStart w:id="231" w:name="_Toc18138053"/>
      <w:bookmarkEnd w:id="231"/>
    </w:p>
    <w:p>
      <w:pPr>
        <w:pStyle w:val="64"/>
        <w:numPr>
          <w:ilvl w:val="0"/>
          <w:numId w:val="0"/>
        </w:numPr>
        <w:ind w:firstLine="420"/>
      </w:pPr>
      <w:bookmarkStart w:id="232" w:name="_Toc18102057"/>
      <w:bookmarkStart w:id="233" w:name="_Toc18138054"/>
      <w:r>
        <w:rPr>
          <w:rFonts w:hint="eastAsia"/>
        </w:rPr>
        <w:t>前向碰撞时间</w:t>
      </w:r>
      <w:bookmarkEnd w:id="232"/>
      <w:bookmarkEnd w:id="233"/>
    </w:p>
    <w:p>
      <w:pPr>
        <w:pStyle w:val="27"/>
      </w:pPr>
      <w:r>
        <w:rPr>
          <w:rFonts w:hint="eastAsia"/>
        </w:rPr>
        <w:t>在当前接近速度保持不变的情况下，自车与前方目标车辆发生碰撞所需的时间。碰撞时间用自车与目标车辆的间距除以它们的相对车速计算得到。</w:t>
      </w:r>
    </w:p>
    <w:p>
      <w:pPr>
        <w:pStyle w:val="27"/>
      </w:pPr>
      <w:r>
        <w:object>
          <v:shape id="_x0000_i1025" o:spt="75" type="#_x0000_t75" style="height:33.75pt;width:60.7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p>
      <w:pPr>
        <w:pStyle w:val="27"/>
      </w:pPr>
      <w:r>
        <w:rPr>
          <w:rFonts w:hint="eastAsia"/>
        </w:rPr>
        <w:t>式中：</w:t>
      </w:r>
      <w:r>
        <w:rPr>
          <w:rFonts w:hint="eastAsia"/>
        </w:rPr>
        <w:object>
          <v:shape id="_x0000_i1026" o:spt="75" type="#_x0000_t75" style="height:14.25pt;width:24.7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rPr>
          <w:rFonts w:hint="eastAsia"/>
        </w:rPr>
        <w:t>为碰撞时间；</w:t>
      </w:r>
      <w:r>
        <w:rPr>
          <w:rFonts w:hint="eastAsia"/>
        </w:rPr>
        <w:object>
          <v:shape id="_x0000_i1027" o:spt="75" type="#_x0000_t75" style="height:18pt;width:24.75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r>
        <w:rPr>
          <w:rFonts w:hint="eastAsia"/>
        </w:rPr>
        <w:t>为自车与目标车辆间距；</w:t>
      </w:r>
      <w:r>
        <w:rPr>
          <w:rFonts w:hint="eastAsia"/>
        </w:rPr>
        <w:object>
          <v:shape id="_x0000_i1028" o:spt="75" type="#_x0000_t75" style="height:18pt;width:24.75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r>
        <w:rPr>
          <w:rFonts w:hint="eastAsia"/>
        </w:rPr>
        <w:t>为相对速度。</w:t>
      </w:r>
    </w:p>
    <w:p>
      <w:pPr>
        <w:pStyle w:val="64"/>
        <w:ind w:hanging="709" w:hangingChars="338"/>
      </w:pPr>
      <w:bookmarkStart w:id="234" w:name="_Toc18102058"/>
      <w:bookmarkEnd w:id="234"/>
      <w:bookmarkStart w:id="235" w:name="_Toc18138055"/>
      <w:bookmarkEnd w:id="235"/>
    </w:p>
    <w:p>
      <w:pPr>
        <w:pStyle w:val="64"/>
        <w:numPr>
          <w:ilvl w:val="0"/>
          <w:numId w:val="0"/>
        </w:numPr>
        <w:tabs>
          <w:tab w:val="center" w:pos="4201"/>
          <w:tab w:val="right" w:leader="dot" w:pos="9298"/>
        </w:tabs>
        <w:ind w:firstLine="420" w:firstLineChars="200"/>
        <w:rPr>
          <w:rFonts w:hint="eastAsia"/>
        </w:rPr>
      </w:pPr>
      <w:bookmarkStart w:id="236" w:name="_Toc18102059"/>
      <w:bookmarkStart w:id="237" w:name="_Toc18138056"/>
      <w:r>
        <w:rPr>
          <w:rFonts w:hint="eastAsia"/>
        </w:rPr>
        <w:t>车头时距</w:t>
      </w:r>
      <w:bookmarkEnd w:id="236"/>
      <w:bookmarkEnd w:id="237"/>
    </w:p>
    <w:p>
      <w:pPr>
        <w:pStyle w:val="27"/>
      </w:pPr>
      <w:r>
        <w:rPr>
          <w:rFonts w:hint="eastAsia"/>
        </w:rPr>
        <w:t>用时间表示在同一路径行驶的两车之间的距离，通过两车的车间距离除以自车车速计算。</w:t>
      </w:r>
    </w:p>
    <w:p>
      <w:pPr>
        <w:pStyle w:val="27"/>
      </w:pPr>
      <w:r>
        <w:rPr>
          <w:rFonts w:hint="eastAsia"/>
        </w:rPr>
        <w:object>
          <v:shape id="_x0000_i1029" o:spt="75" type="#_x0000_t75" style="height:33.75pt;width:90.75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p>
    <w:p>
      <w:pPr>
        <w:pStyle w:val="27"/>
      </w:pPr>
      <w:r>
        <w:rPr>
          <w:rFonts w:hint="eastAsia"/>
        </w:rPr>
        <w:t>式中：</w:t>
      </w:r>
      <w:r>
        <w:rPr>
          <w:rFonts w:hint="eastAsia"/>
        </w:rPr>
        <w:object>
          <v:shape id="_x0000_i1030" o:spt="75" type="#_x0000_t75" style="height:12.75pt;width:20.25pt;" o:ole="t" filled="f" o:preferrelative="t" stroked="f" coordsize="21600,21600">
            <v:path/>
            <v:fill on="f" focussize="0,0"/>
            <v:stroke on="f" joinstyle="miter"/>
            <v:imagedata r:id="rId19" o:title=""/>
            <o:lock v:ext="edit" aspectratio="t"/>
            <w10:wrap type="none"/>
            <w10:anchorlock/>
          </v:shape>
          <o:OLEObject Type="Embed" ProgID="Equation.3" ShapeID="_x0000_i1030" DrawAspect="Content" ObjectID="_1468075730" r:id="rId18">
            <o:LockedField>false</o:LockedField>
          </o:OLEObject>
        </w:object>
      </w:r>
      <w:r>
        <w:rPr>
          <w:rFonts w:hint="eastAsia"/>
        </w:rPr>
        <w:t>为车头时距；</w:t>
      </w:r>
      <w:r>
        <w:rPr>
          <w:rFonts w:hint="eastAsia"/>
        </w:rPr>
        <w:object>
          <v:shape id="_x0000_i1031" o:spt="75" type="#_x0000_t75" style="height:17.25pt;width:24.75pt;" o:ole="t" filled="f" o:preferrelative="t" stroked="f" coordsize="21600,21600">
            <v:path/>
            <v:fill on="f" focussize="0,0"/>
            <v:stroke on="f" joinstyle="miter"/>
            <v:imagedata r:id="rId21" o:title=""/>
            <o:lock v:ext="edit" aspectratio="t"/>
            <w10:wrap type="none"/>
            <w10:anchorlock/>
          </v:shape>
          <o:OLEObject Type="Embed" ProgID="Equation.3" ShapeID="_x0000_i1031" DrawAspect="Content" ObjectID="_1468075731" r:id="rId20">
            <o:LockedField>false</o:LockedField>
          </o:OLEObject>
        </w:object>
      </w:r>
      <w:r>
        <w:rPr>
          <w:rFonts w:hint="eastAsia"/>
        </w:rPr>
        <w:t>为自车与目标车辆间距；</w:t>
      </w:r>
      <w:r>
        <w:object>
          <v:shape id="_x0000_i1032" o:spt="75" type="#_x0000_t75" style="height:18pt;width:24.75pt;" o:ole="t" filled="f" o:preferrelative="t" stroked="f" coordsize="21600,21600">
            <v:path/>
            <v:fill on="f" focussize="0,0"/>
            <v:stroke on="f" joinstyle="miter"/>
            <v:imagedata r:id="rId23" o:title=""/>
            <o:lock v:ext="edit" aspectratio="t"/>
            <w10:wrap type="none"/>
            <w10:anchorlock/>
          </v:shape>
          <o:OLEObject Type="Embed" ProgID="Equation.3" ShapeID="_x0000_i1032" DrawAspect="Content" ObjectID="_1468075732" r:id="rId22">
            <o:LockedField>false</o:LockedField>
          </o:OLEObject>
        </w:object>
      </w:r>
      <w:r>
        <w:rPr>
          <w:rFonts w:hint="eastAsia"/>
        </w:rPr>
        <w:t>自车速度。</w:t>
      </w:r>
      <w:bookmarkStart w:id="238" w:name="_Toc18102060"/>
      <w:bookmarkEnd w:id="238"/>
    </w:p>
    <w:p>
      <w:pPr>
        <w:pStyle w:val="64"/>
        <w:ind w:hanging="709" w:hangingChars="338"/>
      </w:pPr>
      <w:bookmarkStart w:id="239" w:name="_Toc18102062"/>
      <w:bookmarkEnd w:id="239"/>
      <w:bookmarkStart w:id="240" w:name="_Toc18138057"/>
      <w:bookmarkEnd w:id="240"/>
    </w:p>
    <w:p>
      <w:pPr>
        <w:pStyle w:val="64"/>
        <w:numPr>
          <w:ilvl w:val="0"/>
          <w:numId w:val="0"/>
        </w:numPr>
        <w:ind w:firstLine="420"/>
      </w:pPr>
      <w:bookmarkStart w:id="241" w:name="_Toc18138058"/>
      <w:bookmarkStart w:id="242" w:name="_Toc18102063"/>
      <w:r>
        <w:rPr>
          <w:rFonts w:hint="eastAsia"/>
        </w:rPr>
        <w:t>准确率</w:t>
      </w:r>
      <w:bookmarkEnd w:id="241"/>
      <w:bookmarkEnd w:id="242"/>
    </w:p>
    <w:p>
      <w:pPr>
        <w:pStyle w:val="27"/>
      </w:pPr>
      <w:r>
        <w:rPr>
          <w:rFonts w:hint="eastAsia"/>
        </w:rPr>
        <w:t>正确报警事件数量占总事件数量的比例。</w:t>
      </w:r>
    </w:p>
    <w:p>
      <w:pPr>
        <w:pStyle w:val="27"/>
      </w:pPr>
      <w:r>
        <w:rPr>
          <w:rFonts w:hint="eastAsia"/>
        </w:rPr>
        <w:object>
          <v:shape id="_x0000_i1033" o:spt="75" type="#_x0000_t75" style="height:33.75pt;width:76.5pt;" o:ole="t" filled="f" o:preferrelative="t" stroked="f" coordsize="21600,21600">
            <v:path/>
            <v:fill on="f" focussize="0,0"/>
            <v:stroke on="f" joinstyle="miter"/>
            <v:imagedata r:id="rId25" o:title=""/>
            <o:lock v:ext="edit" aspectratio="t"/>
            <w10:wrap type="none"/>
            <w10:anchorlock/>
          </v:shape>
          <o:OLEObject Type="Embed" ProgID="Equation.3" ShapeID="_x0000_i1033" DrawAspect="Content" ObjectID="_1468075733" r:id="rId24">
            <o:LockedField>false</o:LockedField>
          </o:OLEObject>
        </w:object>
      </w:r>
    </w:p>
    <w:p>
      <w:pPr>
        <w:pStyle w:val="27"/>
        <w:rPr>
          <w:rFonts w:hint="eastAsia"/>
        </w:rPr>
      </w:pPr>
      <w:r>
        <w:rPr>
          <w:rFonts w:hint="eastAsia"/>
        </w:rPr>
        <w:t>式中：P为准确率；</w:t>
      </w:r>
      <w:r>
        <w:rPr>
          <w:rFonts w:hint="eastAsia"/>
        </w:rPr>
        <w:object>
          <v:shape id="_x0000_i1034" o:spt="75" type="#_x0000_t75" style="height:18pt;width:15.75pt;" o:ole="t" filled="f" o:preferrelative="t" stroked="f" coordsize="21600,21600">
            <v:path/>
            <v:fill on="f" focussize="0,0"/>
            <v:stroke on="f" joinstyle="miter"/>
            <v:imagedata r:id="rId27" o:title=""/>
            <o:lock v:ext="edit" aspectratio="t"/>
            <w10:wrap type="none"/>
            <w10:anchorlock/>
          </v:shape>
          <o:OLEObject Type="Embed" ProgID="Equation.3" ShapeID="_x0000_i1034" DrawAspect="Content" ObjectID="_1468075734" r:id="rId26">
            <o:LockedField>false</o:LockedField>
          </o:OLEObject>
        </w:object>
      </w:r>
      <w:r>
        <w:rPr>
          <w:rFonts w:hint="eastAsia"/>
        </w:rPr>
        <w:t>为正确报警的事件数量；</w:t>
      </w:r>
      <w:r>
        <w:rPr>
          <w:rFonts w:hint="eastAsia"/>
        </w:rPr>
        <w:object>
          <v:shape id="_x0000_i1035" o:spt="75" type="#_x0000_t75" style="height:18pt;width:17.25pt;" o:ole="t" filled="f" o:preferrelative="t" stroked="f" coordsize="21600,21600">
            <v:path/>
            <v:fill on="f" focussize="0,0"/>
            <v:stroke on="f" joinstyle="miter"/>
            <v:imagedata r:id="rId29" o:title=""/>
            <o:lock v:ext="edit" aspectratio="t"/>
            <w10:wrap type="none"/>
            <w10:anchorlock/>
          </v:shape>
          <o:OLEObject Type="Embed" ProgID="Equation.3" ShapeID="_x0000_i1035" DrawAspect="Content" ObjectID="_1468075735" r:id="rId28">
            <o:LockedField>false</o:LockedField>
          </o:OLEObject>
        </w:object>
      </w:r>
      <w:r>
        <w:rPr>
          <w:rFonts w:hint="eastAsia"/>
        </w:rPr>
        <w:t>为总事件数量。</w:t>
      </w:r>
    </w:p>
    <w:p>
      <w:pPr>
        <w:pStyle w:val="64"/>
        <w:ind w:hanging="709" w:hangingChars="338"/>
      </w:pPr>
      <w:bookmarkStart w:id="243" w:name="_Toc18138059"/>
      <w:bookmarkEnd w:id="243"/>
      <w:bookmarkStart w:id="244" w:name="_Toc18102064"/>
      <w:bookmarkEnd w:id="244"/>
    </w:p>
    <w:p>
      <w:pPr>
        <w:pStyle w:val="64"/>
        <w:numPr>
          <w:ilvl w:val="0"/>
          <w:numId w:val="0"/>
        </w:numPr>
        <w:ind w:firstLine="420"/>
      </w:pPr>
      <w:bookmarkStart w:id="245" w:name="_Toc18102065"/>
      <w:bookmarkStart w:id="246" w:name="_Toc18138060"/>
      <w:r>
        <w:rPr>
          <w:rFonts w:hint="eastAsia"/>
        </w:rPr>
        <w:t>误报</w:t>
      </w:r>
      <w:r>
        <w:t>率</w:t>
      </w:r>
      <w:bookmarkEnd w:id="245"/>
      <w:bookmarkEnd w:id="246"/>
    </w:p>
    <w:p>
      <w:pPr>
        <w:pStyle w:val="27"/>
      </w:pPr>
      <w:r>
        <w:rPr>
          <w:rFonts w:hint="eastAsia"/>
        </w:rPr>
        <w:t>错误报警事件数量占总事件数量的比例。</w:t>
      </w:r>
    </w:p>
    <w:p>
      <w:pPr>
        <w:pStyle w:val="27"/>
      </w:pPr>
      <w:r>
        <w:t>错误报警</w:t>
      </w:r>
      <w:r>
        <w:rPr>
          <w:rFonts w:hint="eastAsia"/>
        </w:rPr>
        <w:t>事件</w:t>
      </w:r>
      <w:r>
        <w:t>数量</w:t>
      </w:r>
      <w:r>
        <w:rPr>
          <w:rFonts w:hint="eastAsia"/>
        </w:rPr>
        <w:t>等于</w:t>
      </w:r>
      <w:r>
        <w:t>对应</w:t>
      </w:r>
      <w:r>
        <w:rPr>
          <w:rFonts w:hint="eastAsia"/>
        </w:rPr>
        <w:t>测试项不应该产生</w:t>
      </w:r>
      <w:r>
        <w:t>报警</w:t>
      </w:r>
      <w:r>
        <w:rPr>
          <w:rFonts w:hint="eastAsia"/>
        </w:rPr>
        <w:t>却</w:t>
      </w:r>
      <w:r>
        <w:t>产生</w:t>
      </w:r>
      <w:r>
        <w:rPr>
          <w:rFonts w:hint="eastAsia"/>
        </w:rPr>
        <w:t>了报警</w:t>
      </w:r>
      <w:r>
        <w:t>事件</w:t>
      </w:r>
      <w:r>
        <w:rPr>
          <w:rFonts w:hint="eastAsia"/>
        </w:rPr>
        <w:t>的数量</w:t>
      </w:r>
    </w:p>
    <w:p>
      <w:pPr>
        <w:pStyle w:val="27"/>
      </w:pPr>
      <w:r>
        <w:rPr>
          <w:rFonts w:hint="eastAsia"/>
        </w:rPr>
        <w:object>
          <v:shape id="_x0000_i1036" o:spt="75" type="#_x0000_t75" style="height:35.25pt;width:102.75pt;" o:ole="t" filled="f" o:preferrelative="t" stroked="f" coordsize="21600,21600">
            <v:path/>
            <v:fill on="f" focussize="0,0"/>
            <v:stroke on="f" joinstyle="miter"/>
            <v:imagedata r:id="rId31" o:title=""/>
            <o:lock v:ext="edit" aspectratio="t"/>
            <w10:wrap type="none"/>
            <w10:anchorlock/>
          </v:shape>
          <o:OLEObject Type="Embed" ProgID="Equation.3" ShapeID="_x0000_i1036" DrawAspect="Content" ObjectID="_1468075736" r:id="rId30">
            <o:LockedField>false</o:LockedField>
          </o:OLEObject>
        </w:object>
      </w:r>
    </w:p>
    <w:p>
      <w:pPr>
        <w:pStyle w:val="27"/>
        <w:rPr>
          <w:rFonts w:hint="eastAsia"/>
        </w:rPr>
      </w:pPr>
      <w:r>
        <w:rPr>
          <w:rFonts w:hint="eastAsia"/>
        </w:rPr>
        <w:t>式中：P</w:t>
      </w:r>
      <w:r>
        <w:rPr>
          <w:vertAlign w:val="subscript"/>
        </w:rPr>
        <w:t>f</w:t>
      </w:r>
      <w:r>
        <w:rPr>
          <w:rFonts w:hint="eastAsia"/>
        </w:rPr>
        <w:t>为误报率；</w:t>
      </w:r>
      <w:r>
        <w:rPr>
          <w:rFonts w:hint="eastAsia"/>
        </w:rPr>
        <w:object>
          <v:shape id="_x0000_i1037" o:spt="75" type="#_x0000_t75" style="height:18pt;width:15.75pt;" o:ole="t" filled="f" o:preferrelative="t" stroked="f" coordsize="21600,21600">
            <v:path/>
            <v:fill on="f" focussize="0,0"/>
            <v:stroke on="f" joinstyle="miter"/>
            <v:imagedata r:id="rId33" o:title=""/>
            <o:lock v:ext="edit" aspectratio="t"/>
            <w10:wrap type="none"/>
            <w10:anchorlock/>
          </v:shape>
          <o:OLEObject Type="Embed" ProgID="Equation.3" ShapeID="_x0000_i1037" DrawAspect="Content" ObjectID="_1468075737" r:id="rId32">
            <o:LockedField>false</o:LockedField>
          </o:OLEObject>
        </w:object>
      </w:r>
      <w:r>
        <w:rPr>
          <w:rFonts w:hint="eastAsia"/>
        </w:rPr>
        <w:t>为错误报警的事件数量；</w:t>
      </w:r>
      <w:r>
        <w:rPr>
          <w:rFonts w:hint="eastAsia"/>
        </w:rPr>
        <w:object>
          <v:shape id="_x0000_i1038" o:spt="75" type="#_x0000_t75" style="height:18pt;width:17.25pt;" o:ole="t" filled="f" o:preferrelative="t" stroked="f" coordsize="21600,21600">
            <v:path/>
            <v:fill on="f" focussize="0,0"/>
            <v:stroke on="f" joinstyle="miter"/>
            <v:imagedata r:id="rId29" o:title=""/>
            <o:lock v:ext="edit" aspectratio="t"/>
            <w10:wrap type="none"/>
            <w10:anchorlock/>
          </v:shape>
          <o:OLEObject Type="Embed" ProgID="Equation.3" ShapeID="_x0000_i1038" DrawAspect="Content" ObjectID="_1468075738" r:id="rId34">
            <o:LockedField>false</o:LockedField>
          </o:OLEObject>
        </w:object>
      </w:r>
      <w:r>
        <w:rPr>
          <w:rFonts w:hint="eastAsia"/>
        </w:rPr>
        <w:t>为总事件数量。</w:t>
      </w:r>
    </w:p>
    <w:p>
      <w:pPr>
        <w:pStyle w:val="27"/>
        <w:rPr>
          <w:rFonts w:hint="eastAsia"/>
        </w:rPr>
      </w:pPr>
    </w:p>
    <w:p>
      <w:pPr>
        <w:pStyle w:val="64"/>
        <w:ind w:hanging="709" w:hangingChars="338"/>
      </w:pPr>
      <w:bookmarkStart w:id="247" w:name="_Toc18138061"/>
      <w:bookmarkEnd w:id="247"/>
      <w:bookmarkStart w:id="248" w:name="_Toc18102097"/>
    </w:p>
    <w:p>
      <w:pPr>
        <w:pStyle w:val="64"/>
        <w:numPr>
          <w:ilvl w:val="0"/>
          <w:numId w:val="0"/>
        </w:numPr>
        <w:ind w:left="-710" w:leftChars="-338" w:firstLine="1129" w:firstLineChars="538"/>
      </w:pPr>
      <w:bookmarkStart w:id="249" w:name="_Toc18138062"/>
      <w:r>
        <w:rPr>
          <w:rFonts w:hint="eastAsia"/>
        </w:rPr>
        <w:t>缩略语</w:t>
      </w:r>
      <w:bookmarkEnd w:id="217"/>
      <w:bookmarkEnd w:id="218"/>
      <w:bookmarkEnd w:id="219"/>
      <w:bookmarkEnd w:id="220"/>
      <w:bookmarkEnd w:id="221"/>
      <w:bookmarkEnd w:id="222"/>
      <w:bookmarkEnd w:id="223"/>
      <w:bookmarkEnd w:id="224"/>
      <w:bookmarkEnd w:id="225"/>
      <w:bookmarkEnd w:id="226"/>
      <w:bookmarkEnd w:id="248"/>
      <w:bookmarkEnd w:id="249"/>
    </w:p>
    <w:p>
      <w:pPr>
        <w:pStyle w:val="27"/>
      </w:pPr>
      <w:r>
        <w:t>DSM</w:t>
      </w:r>
      <w:r>
        <w:rPr>
          <w:rFonts w:hint="eastAsia"/>
        </w:rPr>
        <w:t>：驾驶员驾驶行为监测</w:t>
      </w:r>
      <w:r>
        <w:t xml:space="preserve"> (Driving State Monitoring)</w:t>
      </w:r>
    </w:p>
    <w:p>
      <w:pPr>
        <w:pStyle w:val="27"/>
      </w:pPr>
      <w:r>
        <w:rPr>
          <w:rFonts w:hint="eastAsia"/>
        </w:rPr>
        <w:t>ADAS：车辆运行监测功能 (Advanced Driver Assistant System)</w:t>
      </w:r>
    </w:p>
    <w:p>
      <w:pPr>
        <w:pStyle w:val="27"/>
      </w:pPr>
      <w:r>
        <w:t>DDW</w:t>
      </w:r>
      <w:r>
        <w:rPr>
          <w:rFonts w:hint="eastAsia"/>
        </w:rPr>
        <w:t>：分神驾驶监测</w:t>
      </w:r>
      <w:r>
        <w:t>(Driver Distraction Warning)</w:t>
      </w:r>
    </w:p>
    <w:p>
      <w:pPr>
        <w:pStyle w:val="27"/>
      </w:pPr>
      <w:r>
        <w:t>DWS</w:t>
      </w:r>
      <w:r>
        <w:rPr>
          <w:rFonts w:hint="eastAsia"/>
        </w:rPr>
        <w:t>：疲劳驾驶监测</w:t>
      </w:r>
      <w:r>
        <w:t>(Drowsy-driving Warning System)</w:t>
      </w:r>
    </w:p>
    <w:p>
      <w:pPr>
        <w:pStyle w:val="27"/>
      </w:pPr>
      <w:r>
        <w:t>FCW</w:t>
      </w:r>
      <w:r>
        <w:rPr>
          <w:rFonts w:hint="eastAsia"/>
        </w:rPr>
        <w:t>：前车碰撞报警</w:t>
      </w:r>
      <w:r>
        <w:t xml:space="preserve"> (Forward Collision Warning) </w:t>
      </w:r>
    </w:p>
    <w:p>
      <w:pPr>
        <w:pStyle w:val="27"/>
      </w:pPr>
      <w:r>
        <w:t>LDW</w:t>
      </w:r>
      <w:r>
        <w:rPr>
          <w:rFonts w:hint="eastAsia"/>
        </w:rPr>
        <w:t>：车道偏离报警</w:t>
      </w:r>
      <w:r>
        <w:t xml:space="preserve"> (Lane Departure Warning)</w:t>
      </w:r>
    </w:p>
    <w:p>
      <w:pPr>
        <w:spacing w:line="16" w:lineRule="exact"/>
        <w:ind w:firstLine="480"/>
        <w:jc w:val="left"/>
        <w:rPr>
          <w:sz w:val="24"/>
        </w:rPr>
      </w:pPr>
      <w:bookmarkStart w:id="250" w:name="page4"/>
      <w:bookmarkEnd w:id="250"/>
    </w:p>
    <w:p>
      <w:pPr>
        <w:pStyle w:val="97"/>
      </w:pPr>
      <w:bookmarkStart w:id="251" w:name="_Toc30178_WPSOffice_Level1"/>
      <w:bookmarkStart w:id="252" w:name="_Toc13658925"/>
      <w:bookmarkStart w:id="253" w:name="_Toc17565878"/>
      <w:bookmarkStart w:id="254" w:name="_Toc17642942"/>
      <w:bookmarkStart w:id="255" w:name="_Toc18102098"/>
      <w:bookmarkStart w:id="256" w:name="_Toc17642786"/>
      <w:bookmarkStart w:id="257" w:name="_Toc18138063"/>
      <w:bookmarkStart w:id="258" w:name="_Toc26465_WPSOffice_Level1"/>
      <w:bookmarkStart w:id="259" w:name="_Toc17563775"/>
      <w:bookmarkStart w:id="260" w:name="_Toc7109677"/>
      <w:bookmarkStart w:id="261" w:name="_Toc3435"/>
      <w:bookmarkStart w:id="262" w:name="_Toc13665021"/>
      <w:bookmarkStart w:id="263" w:name="_Toc17643091"/>
      <w:r>
        <w:rPr>
          <w:rFonts w:hint="eastAsia"/>
        </w:rPr>
        <w:t>一般要求</w:t>
      </w:r>
      <w:bookmarkEnd w:id="251"/>
      <w:bookmarkEnd w:id="252"/>
      <w:bookmarkEnd w:id="253"/>
      <w:bookmarkEnd w:id="254"/>
      <w:bookmarkEnd w:id="255"/>
      <w:bookmarkEnd w:id="256"/>
      <w:bookmarkEnd w:id="257"/>
      <w:bookmarkEnd w:id="258"/>
      <w:bookmarkEnd w:id="259"/>
      <w:bookmarkEnd w:id="260"/>
      <w:bookmarkEnd w:id="261"/>
      <w:bookmarkEnd w:id="262"/>
      <w:bookmarkEnd w:id="263"/>
    </w:p>
    <w:p>
      <w:pPr>
        <w:pStyle w:val="64"/>
        <w:ind w:hanging="709" w:hangingChars="338"/>
      </w:pPr>
      <w:bookmarkStart w:id="264" w:name="_Toc26244"/>
      <w:bookmarkStart w:id="265" w:name="_Toc12432_WPSOffice_Level1"/>
      <w:bookmarkStart w:id="266" w:name="_Toc30325_WPSOffice_Level1"/>
      <w:bookmarkStart w:id="267" w:name="_Toc13665022"/>
      <w:bookmarkStart w:id="268" w:name="_Toc17563776"/>
      <w:bookmarkStart w:id="269" w:name="_Toc17565879"/>
      <w:bookmarkStart w:id="270" w:name="_Toc17642943"/>
      <w:bookmarkStart w:id="271" w:name="_Toc18102099"/>
      <w:bookmarkStart w:id="272" w:name="_Toc7109678"/>
      <w:bookmarkStart w:id="273" w:name="_Toc17643092"/>
      <w:bookmarkStart w:id="274" w:name="_Toc17642787"/>
      <w:bookmarkStart w:id="275" w:name="_Toc18138064"/>
      <w:r>
        <w:rPr>
          <w:rFonts w:hint="eastAsia"/>
        </w:rPr>
        <w:t>智能视频监控报警装置组成</w:t>
      </w:r>
      <w:bookmarkEnd w:id="264"/>
      <w:bookmarkEnd w:id="265"/>
      <w:bookmarkEnd w:id="266"/>
      <w:bookmarkEnd w:id="267"/>
      <w:bookmarkEnd w:id="268"/>
      <w:bookmarkEnd w:id="269"/>
      <w:bookmarkEnd w:id="270"/>
      <w:bookmarkEnd w:id="271"/>
      <w:bookmarkEnd w:id="272"/>
      <w:bookmarkEnd w:id="273"/>
      <w:bookmarkEnd w:id="274"/>
      <w:bookmarkEnd w:id="275"/>
    </w:p>
    <w:p>
      <w:pPr>
        <w:pStyle w:val="63"/>
        <w:spacing w:before="156" w:after="156"/>
      </w:pPr>
      <w:bookmarkStart w:id="276" w:name="_Toc17642944"/>
      <w:bookmarkStart w:id="277" w:name="_Toc7109679"/>
      <w:bookmarkStart w:id="278" w:name="_Toc17642788"/>
      <w:bookmarkStart w:id="279" w:name="_Toc17643093"/>
      <w:bookmarkStart w:id="280" w:name="_Toc13665023"/>
      <w:bookmarkStart w:id="281" w:name="_Toc11473"/>
      <w:bookmarkStart w:id="282" w:name="_Toc13660616"/>
      <w:r>
        <w:rPr>
          <w:rFonts w:hint="eastAsia"/>
        </w:rPr>
        <w:t>主机</w:t>
      </w:r>
      <w:bookmarkEnd w:id="276"/>
      <w:bookmarkEnd w:id="277"/>
      <w:bookmarkEnd w:id="278"/>
      <w:bookmarkEnd w:id="279"/>
      <w:bookmarkEnd w:id="280"/>
      <w:bookmarkEnd w:id="281"/>
      <w:bookmarkEnd w:id="282"/>
    </w:p>
    <w:p>
      <w:pPr>
        <w:pStyle w:val="125"/>
        <w:tabs>
          <w:tab w:val="center" w:pos="4201"/>
          <w:tab w:val="right" w:leader="dot" w:pos="9298"/>
        </w:tabs>
        <w:rPr>
          <w:rFonts w:hint="eastAsia"/>
          <w:sz w:val="24"/>
        </w:rPr>
      </w:pPr>
      <w:r>
        <w:rPr>
          <w:rFonts w:hint="eastAsia"/>
        </w:rPr>
        <w:t>4.1.1.1智能视频监控报警装置系统应包含驾驶员驾驶行为监测、设备</w:t>
      </w:r>
      <w:r>
        <w:t>失效</w:t>
      </w:r>
      <w:r>
        <w:rPr>
          <w:rFonts w:hint="eastAsia"/>
        </w:rPr>
        <w:t>监测</w:t>
      </w:r>
      <w:r>
        <w:t>、</w:t>
      </w:r>
      <w:r>
        <w:rPr>
          <w:rFonts w:hint="eastAsia"/>
        </w:rPr>
        <w:t>车辆运行</w:t>
      </w:r>
      <w:r>
        <w:t>监测</w:t>
      </w:r>
      <w:r>
        <w:rPr>
          <w:rFonts w:hint="eastAsia"/>
        </w:rPr>
        <w:t>、驾驶员</w:t>
      </w:r>
      <w:r>
        <w:t>身份识别</w:t>
      </w:r>
      <w:r>
        <w:rPr>
          <w:rFonts w:hint="eastAsia"/>
        </w:rPr>
        <w:t>功能，应包括数据通信接口、微处理器、数据存储器、无线通信模块、实时时钟、车辆运行</w:t>
      </w:r>
      <w:r>
        <w:t>监测</w:t>
      </w:r>
      <w:r>
        <w:rPr>
          <w:rFonts w:hint="eastAsia"/>
        </w:rPr>
        <w:t>模块、驾驶员驾驶行为监测模块等。其中无线通信模块需具备入网许可证、型号核准报告, 且必须提供具有cnas认证资质的检测机构的报告。</w:t>
      </w:r>
    </w:p>
    <w:p>
      <w:pPr>
        <w:pStyle w:val="125"/>
        <w:tabs>
          <w:tab w:val="center" w:pos="4201"/>
          <w:tab w:val="right" w:leader="dot" w:pos="9298"/>
        </w:tabs>
        <w:rPr>
          <w:rFonts w:hint="eastAsia"/>
        </w:rPr>
      </w:pPr>
      <w:r>
        <w:rPr>
          <w:rFonts w:hint="eastAsia"/>
        </w:rPr>
        <w:t>4.1.1.2终端主机应具有的数据接口包括不少于 2路视频信号输入接口、</w:t>
      </w:r>
      <w:r>
        <w:t>2</w:t>
      </w:r>
      <w:r>
        <w:rPr>
          <w:rFonts w:hint="eastAsia"/>
        </w:rPr>
        <w:t xml:space="preserve"> 路音频信号输入接口、</w:t>
      </w:r>
      <w:r>
        <w:t>1</w:t>
      </w:r>
      <w:r>
        <w:rPr>
          <w:rFonts w:hint="eastAsia"/>
        </w:rPr>
        <w:t xml:space="preserve"> 路音视频信号输出接口、1 路 </w:t>
      </w:r>
      <w:r>
        <w:t>RS485</w:t>
      </w:r>
      <w:r>
        <w:rPr>
          <w:rFonts w:hint="eastAsia"/>
        </w:rPr>
        <w:t xml:space="preserve"> 接口、</w:t>
      </w:r>
      <w:r>
        <w:t>2</w:t>
      </w:r>
      <w:r>
        <w:rPr>
          <w:rFonts w:hint="eastAsia"/>
        </w:rPr>
        <w:t xml:space="preserve"> 路 </w:t>
      </w:r>
      <w:r>
        <w:t>RS232</w:t>
      </w:r>
      <w:r>
        <w:rPr>
          <w:rFonts w:hint="eastAsia"/>
        </w:rPr>
        <w:t xml:space="preserve"> 接口、</w:t>
      </w:r>
      <w:r>
        <w:t>1</w:t>
      </w:r>
      <w:r>
        <w:rPr>
          <w:rFonts w:hint="eastAsia"/>
        </w:rPr>
        <w:t xml:space="preserve"> 路 </w:t>
      </w:r>
      <w:r>
        <w:t>10M/100M</w:t>
      </w:r>
      <w:r>
        <w:rPr>
          <w:rFonts w:hint="eastAsia"/>
        </w:rPr>
        <w:t xml:space="preserve"> 自适应网络接口、</w:t>
      </w:r>
      <w:r>
        <w:t>1</w:t>
      </w:r>
      <w:r>
        <w:rPr>
          <w:rFonts w:hint="eastAsia"/>
        </w:rPr>
        <w:t xml:space="preserve"> 路 </w:t>
      </w:r>
      <w:r>
        <w:t>CAN</w:t>
      </w:r>
      <w:r>
        <w:rPr>
          <w:rFonts w:hint="eastAsia"/>
        </w:rPr>
        <w:t xml:space="preserve"> 接口、</w:t>
      </w:r>
      <w:r>
        <w:t>1</w:t>
      </w:r>
      <w:r>
        <w:rPr>
          <w:rFonts w:hint="eastAsia"/>
        </w:rPr>
        <w:t xml:space="preserve"> 路 </w:t>
      </w:r>
      <w:r>
        <w:t>USB Host2.0</w:t>
      </w:r>
      <w:r>
        <w:rPr>
          <w:rFonts w:hint="eastAsia"/>
        </w:rPr>
        <w:t xml:space="preserve"> 或以上标准接口。</w:t>
      </w:r>
    </w:p>
    <w:p>
      <w:pPr>
        <w:pStyle w:val="125"/>
        <w:tabs>
          <w:tab w:val="center" w:pos="4201"/>
          <w:tab w:val="right" w:leader="dot" w:pos="9298"/>
        </w:tabs>
        <w:rPr>
          <w:rFonts w:hint="eastAsia"/>
          <w:sz w:val="24"/>
        </w:rPr>
      </w:pPr>
      <w:r>
        <w:rPr>
          <w:rFonts w:hint="eastAsia"/>
        </w:rPr>
        <w:t>4.1.1.3车辆运行监测功能应包含前方车辆碰撞报警、前向车距监控、车道偏离报警功能、行人碰撞报警等功能；</w:t>
      </w:r>
    </w:p>
    <w:p>
      <w:pPr>
        <w:pStyle w:val="125"/>
        <w:tabs>
          <w:tab w:val="center" w:pos="4201"/>
          <w:tab w:val="right" w:leader="dot" w:pos="9298"/>
        </w:tabs>
        <w:rPr>
          <w:sz w:val="24"/>
        </w:rPr>
      </w:pPr>
      <w:r>
        <w:rPr>
          <w:rFonts w:hint="eastAsia"/>
        </w:rPr>
        <w:t>4.1.1.4驾驶员驾驶行为监测系统应包含疲劳驾驶报警</w:t>
      </w:r>
      <w:r>
        <w:t>、</w:t>
      </w:r>
      <w:r>
        <w:rPr>
          <w:rFonts w:hint="eastAsia"/>
        </w:rPr>
        <w:t>接打手持</w:t>
      </w:r>
      <w:r>
        <w:t>电话报警</w:t>
      </w:r>
      <w:r>
        <w:rPr>
          <w:rFonts w:hint="eastAsia"/>
        </w:rPr>
        <w:t>、长时间不目视</w:t>
      </w:r>
      <w:r>
        <w:t>前方报警</w:t>
      </w:r>
      <w:r>
        <w:rPr>
          <w:rFonts w:hint="eastAsia"/>
        </w:rPr>
        <w:t>、驾驶员不在</w:t>
      </w:r>
      <w:r>
        <w:t>驾驶位置报警</w:t>
      </w:r>
      <w:r>
        <w:rPr>
          <w:rFonts w:hint="eastAsia"/>
        </w:rPr>
        <w:t>、抽烟报警</w:t>
      </w:r>
      <w:r>
        <w:t>、双手</w:t>
      </w:r>
      <w:r>
        <w:rPr>
          <w:rFonts w:hint="eastAsia"/>
        </w:rPr>
        <w:t>同时</w:t>
      </w:r>
      <w:r>
        <w:t>脱离方向盘报警、</w:t>
      </w:r>
      <w:r>
        <w:rPr>
          <w:rFonts w:hint="eastAsia"/>
        </w:rPr>
        <w:t>设备失效报警</w:t>
      </w:r>
      <w:r>
        <w:t>、</w:t>
      </w:r>
      <w:r>
        <w:rPr>
          <w:rFonts w:hint="eastAsia"/>
        </w:rPr>
        <w:t>红外</w:t>
      </w:r>
      <w:r>
        <w:t>阻断型墨镜失效</w:t>
      </w:r>
      <w:r>
        <w:rPr>
          <w:rFonts w:hint="eastAsia"/>
        </w:rPr>
        <w:t>报警</w:t>
      </w:r>
      <w:r>
        <w:t>、驾驶员</w:t>
      </w:r>
      <w:r>
        <w:rPr>
          <w:rFonts w:hint="eastAsia"/>
        </w:rPr>
        <w:t>身份</w:t>
      </w:r>
      <w:r>
        <w:t>识别</w:t>
      </w:r>
      <w:r>
        <w:rPr>
          <w:rFonts w:hint="eastAsia"/>
        </w:rPr>
        <w:t>等功能。</w:t>
      </w:r>
    </w:p>
    <w:p>
      <w:pPr>
        <w:pStyle w:val="63"/>
        <w:spacing w:before="156" w:after="156"/>
      </w:pPr>
      <w:bookmarkStart w:id="283" w:name="_Toc13665024"/>
      <w:bookmarkStart w:id="284" w:name="_Toc17642789"/>
      <w:bookmarkStart w:id="285" w:name="_Toc13660617"/>
      <w:bookmarkStart w:id="286" w:name="_Toc6350"/>
      <w:bookmarkStart w:id="287" w:name="_Toc17643094"/>
      <w:bookmarkStart w:id="288" w:name="_Toc17642945"/>
      <w:r>
        <w:rPr>
          <w:rFonts w:hint="eastAsia"/>
        </w:rPr>
        <w:t>主存储器</w:t>
      </w:r>
      <w:bookmarkEnd w:id="283"/>
      <w:bookmarkEnd w:id="284"/>
      <w:bookmarkEnd w:id="285"/>
      <w:bookmarkEnd w:id="286"/>
      <w:bookmarkEnd w:id="287"/>
      <w:bookmarkEnd w:id="288"/>
    </w:p>
    <w:p>
      <w:pPr>
        <w:pStyle w:val="125"/>
        <w:tabs>
          <w:tab w:val="center" w:pos="4201"/>
          <w:tab w:val="right" w:leader="dot" w:pos="9298"/>
        </w:tabs>
      </w:pPr>
      <w:r>
        <w:rPr>
          <w:rFonts w:hint="eastAsia"/>
        </w:rPr>
        <w:t xml:space="preserve">4.1.2.1存储介质应支持 </w:t>
      </w:r>
      <w:r>
        <w:t>SD</w:t>
      </w:r>
      <w:r>
        <w:rPr>
          <w:rFonts w:hint="eastAsia"/>
        </w:rPr>
        <w:t xml:space="preserve"> 卡、</w:t>
      </w:r>
      <w:r>
        <w:t>SSD</w:t>
      </w:r>
      <w:r>
        <w:rPr>
          <w:rFonts w:hint="eastAsia"/>
        </w:rPr>
        <w:t xml:space="preserve"> 硬盘、</w:t>
      </w:r>
      <w:r>
        <w:t>HDD</w:t>
      </w:r>
      <w:r>
        <w:rPr>
          <w:rFonts w:hint="eastAsia"/>
        </w:rPr>
        <w:t xml:space="preserve"> 硬盘、</w:t>
      </w:r>
      <w:r>
        <w:t>HHD</w:t>
      </w:r>
      <w:r>
        <w:rPr>
          <w:rFonts w:hint="eastAsia"/>
        </w:rPr>
        <w:t xml:space="preserve"> 硬盘其中之一，也可同时支持多种介质；终端应具备记录至少</w:t>
      </w:r>
      <w:r>
        <w:t>150</w:t>
      </w:r>
      <w:r>
        <w:rPr>
          <w:rFonts w:hint="eastAsia"/>
        </w:rPr>
        <w:t>h录像的能力。</w:t>
      </w:r>
    </w:p>
    <w:p>
      <w:pPr>
        <w:pStyle w:val="149"/>
        <w:tabs>
          <w:tab w:val="center" w:pos="4201"/>
          <w:tab w:val="right" w:leader="dot" w:pos="9298"/>
        </w:tabs>
      </w:pPr>
      <w:r>
        <w:rPr>
          <w:rFonts w:hint="eastAsia"/>
        </w:rPr>
        <w:t>若</w:t>
      </w:r>
      <w:r>
        <w:t>采用SD</w:t>
      </w:r>
      <w:r>
        <w:rPr>
          <w:rFonts w:hint="eastAsia"/>
        </w:rPr>
        <w:t>卡</w:t>
      </w:r>
      <w:r>
        <w:t>储存，</w:t>
      </w:r>
      <w:r>
        <w:rPr>
          <w:rFonts w:hint="eastAsia"/>
        </w:rPr>
        <w:t xml:space="preserve">则存储容量应支持不少于 </w:t>
      </w:r>
      <w:r>
        <w:t>128GB</w:t>
      </w:r>
      <w:r>
        <w:rPr>
          <w:rFonts w:hint="eastAsia"/>
        </w:rPr>
        <w:t xml:space="preserve"> 的常见</w:t>
      </w:r>
      <w:r>
        <w:t>规格</w:t>
      </w:r>
      <w:r>
        <w:rPr>
          <w:rFonts w:hint="eastAsia"/>
        </w:rPr>
        <w:t>;</w:t>
      </w:r>
    </w:p>
    <w:p>
      <w:pPr>
        <w:pStyle w:val="149"/>
        <w:tabs>
          <w:tab w:val="center" w:pos="4201"/>
          <w:tab w:val="right" w:leader="dot" w:pos="9298"/>
        </w:tabs>
        <w:rPr>
          <w:rFonts w:hint="eastAsia"/>
        </w:rPr>
      </w:pPr>
      <w:r>
        <w:rPr>
          <w:rFonts w:hint="eastAsia"/>
        </w:rPr>
        <w:t>若</w:t>
      </w:r>
      <w:r>
        <w:t>采用硬盘储存，</w:t>
      </w:r>
      <w:r>
        <w:rPr>
          <w:rFonts w:hint="eastAsia"/>
        </w:rPr>
        <w:t xml:space="preserve">则存储容量应支持不少于 </w:t>
      </w:r>
      <w:r>
        <w:t>500GB</w:t>
      </w:r>
      <w:r>
        <w:rPr>
          <w:rFonts w:hint="eastAsia"/>
        </w:rPr>
        <w:t xml:space="preserve"> 的常见规格，</w:t>
      </w:r>
      <w:r>
        <w:t>最大</w:t>
      </w:r>
      <w:r>
        <w:rPr>
          <w:rFonts w:hint="eastAsia"/>
        </w:rPr>
        <w:t>应</w:t>
      </w:r>
      <w:r>
        <w:t>可支持</w:t>
      </w:r>
      <w:r>
        <w:rPr>
          <w:rFonts w:hint="eastAsia"/>
        </w:rPr>
        <w:t>2T数据</w:t>
      </w:r>
      <w:r>
        <w:t>存储</w:t>
      </w:r>
      <w:r>
        <w:rPr>
          <w:rFonts w:hint="eastAsia"/>
        </w:rPr>
        <w:t>。</w:t>
      </w:r>
    </w:p>
    <w:p>
      <w:pPr>
        <w:pStyle w:val="125"/>
        <w:tabs>
          <w:tab w:val="center" w:pos="4201"/>
          <w:tab w:val="right" w:leader="dot" w:pos="9298"/>
        </w:tabs>
        <w:rPr>
          <w:rFonts w:hint="eastAsia"/>
          <w:sz w:val="24"/>
        </w:rPr>
      </w:pPr>
      <w:r>
        <w:rPr>
          <w:rFonts w:hint="eastAsia"/>
        </w:rPr>
        <w:t xml:space="preserve">4.1.2.2主存储器应具有一定的防碰撞保护措施，应支持使用专用工具在非拆机方式下手动装卸；对存储器内部数据应具有不易打开、不易篡改的保护功能。应具有 </w:t>
      </w:r>
      <w:r>
        <w:t>USB Device 2.0</w:t>
      </w:r>
      <w:r>
        <w:rPr>
          <w:rFonts w:hint="eastAsia"/>
        </w:rPr>
        <w:t xml:space="preserve"> 或以上接口。</w:t>
      </w:r>
    </w:p>
    <w:p>
      <w:pPr>
        <w:pStyle w:val="63"/>
        <w:spacing w:before="156" w:after="156"/>
      </w:pPr>
      <w:bookmarkStart w:id="289" w:name="_Toc15641"/>
      <w:bookmarkStart w:id="290" w:name="_Toc13665025"/>
      <w:bookmarkStart w:id="291" w:name="_Toc13660618"/>
      <w:bookmarkStart w:id="292" w:name="_Toc17642946"/>
      <w:bookmarkStart w:id="293" w:name="_Toc17642790"/>
      <w:bookmarkStart w:id="294" w:name="_Toc17643095"/>
      <w:r>
        <w:rPr>
          <w:rFonts w:hint="eastAsia"/>
        </w:rPr>
        <w:t>备份存储器</w:t>
      </w:r>
      <w:bookmarkEnd w:id="289"/>
      <w:bookmarkEnd w:id="290"/>
      <w:bookmarkEnd w:id="291"/>
      <w:bookmarkEnd w:id="292"/>
      <w:bookmarkEnd w:id="293"/>
      <w:bookmarkEnd w:id="294"/>
    </w:p>
    <w:p>
      <w:pPr>
        <w:pStyle w:val="125"/>
        <w:tabs>
          <w:tab w:val="center" w:pos="4201"/>
          <w:tab w:val="right" w:leader="dot" w:pos="9298"/>
        </w:tabs>
        <w:rPr>
          <w:rFonts w:hint="eastAsia"/>
        </w:rPr>
      </w:pPr>
      <w:r>
        <w:rPr>
          <w:rFonts w:hint="eastAsia"/>
        </w:rPr>
        <w:t xml:space="preserve">4.1.3.1存储介质应支持 </w:t>
      </w:r>
      <w:r>
        <w:t>SD</w:t>
      </w:r>
      <w:r>
        <w:rPr>
          <w:rFonts w:hint="eastAsia"/>
        </w:rPr>
        <w:t xml:space="preserve"> 卡、</w:t>
      </w:r>
      <w:r>
        <w:t>SSD</w:t>
      </w:r>
      <w:r>
        <w:rPr>
          <w:rFonts w:hint="eastAsia"/>
        </w:rPr>
        <w:t xml:space="preserve"> 硬盘、</w:t>
      </w:r>
      <w:r>
        <w:t>HDD</w:t>
      </w:r>
      <w:r>
        <w:rPr>
          <w:rFonts w:hint="eastAsia"/>
        </w:rPr>
        <w:t xml:space="preserve"> 硬盘、</w:t>
      </w:r>
      <w:r>
        <w:t>HHD</w:t>
      </w:r>
      <w:r>
        <w:rPr>
          <w:rFonts w:hint="eastAsia"/>
        </w:rPr>
        <w:t xml:space="preserve"> 硬盘其中之一，也可同时支持多种介质。</w:t>
      </w:r>
    </w:p>
    <w:p>
      <w:pPr>
        <w:pStyle w:val="125"/>
        <w:tabs>
          <w:tab w:val="center" w:pos="4201"/>
          <w:tab w:val="right" w:leader="dot" w:pos="9298"/>
        </w:tabs>
      </w:pPr>
      <w:r>
        <w:rPr>
          <w:rFonts w:hint="eastAsia"/>
        </w:rPr>
        <w:t xml:space="preserve">4.1.3.2存储容量支持不少于 </w:t>
      </w:r>
      <w:r>
        <w:t>128GB</w:t>
      </w:r>
      <w:r>
        <w:rPr>
          <w:rFonts w:hint="eastAsia"/>
        </w:rPr>
        <w:t xml:space="preserve"> 的常见规格，对存储器内部数据应具有不易打开、防止篡改的保护功能。</w:t>
      </w:r>
    </w:p>
    <w:p>
      <w:pPr>
        <w:pStyle w:val="63"/>
        <w:spacing w:before="156" w:after="156"/>
      </w:pPr>
      <w:bookmarkStart w:id="295" w:name="_Toc26785"/>
      <w:bookmarkStart w:id="296" w:name="_Toc17643096"/>
      <w:bookmarkStart w:id="297" w:name="_Toc17642947"/>
      <w:bookmarkStart w:id="298" w:name="_Toc13665026"/>
      <w:bookmarkStart w:id="299" w:name="_Toc7109680"/>
      <w:bookmarkStart w:id="300" w:name="_Toc13660619"/>
      <w:bookmarkStart w:id="301" w:name="_Toc17642791"/>
      <w:r>
        <w:rPr>
          <w:rFonts w:hint="eastAsia"/>
        </w:rPr>
        <w:t>外部配件</w:t>
      </w:r>
      <w:bookmarkEnd w:id="295"/>
      <w:bookmarkEnd w:id="296"/>
      <w:bookmarkEnd w:id="297"/>
      <w:bookmarkEnd w:id="298"/>
      <w:bookmarkEnd w:id="299"/>
      <w:bookmarkEnd w:id="300"/>
      <w:bookmarkEnd w:id="301"/>
    </w:p>
    <w:p>
      <w:pPr>
        <w:pStyle w:val="125"/>
        <w:tabs>
          <w:tab w:val="center" w:pos="4201"/>
          <w:tab w:val="right" w:leader="dot" w:pos="9298"/>
        </w:tabs>
        <w:ind w:firstLine="420" w:firstLineChars="200"/>
        <w:rPr>
          <w:rFonts w:hint="eastAsia"/>
        </w:rPr>
      </w:pPr>
      <w:r>
        <w:rPr>
          <w:rFonts w:hint="eastAsia"/>
        </w:rPr>
        <w:t xml:space="preserve">外部配件应符合 </w:t>
      </w:r>
      <w:r>
        <w:t>JT/T 794</w:t>
      </w:r>
      <w:r>
        <w:rPr>
          <w:rFonts w:hint="eastAsia"/>
        </w:rPr>
        <w:t xml:space="preserve">-2011 标准 </w:t>
      </w:r>
      <w:r>
        <w:t>4.1.2</w:t>
      </w:r>
      <w:r>
        <w:rPr>
          <w:rFonts w:hint="eastAsia"/>
        </w:rPr>
        <w:t xml:space="preserve"> 的要求和 </w:t>
      </w:r>
      <w:r>
        <w:t>JT/T 1076</w:t>
      </w:r>
      <w:r>
        <w:rPr>
          <w:rFonts w:hint="eastAsia"/>
        </w:rPr>
        <w:t xml:space="preserve"> 标准 </w:t>
      </w:r>
      <w:r>
        <w:t>4.2.2</w:t>
      </w:r>
      <w:r>
        <w:rPr>
          <w:rFonts w:hint="eastAsia"/>
        </w:rPr>
        <w:t>的 要求。</w:t>
      </w:r>
    </w:p>
    <w:p>
      <w:pPr>
        <w:pStyle w:val="63"/>
        <w:spacing w:before="156" w:after="156"/>
      </w:pPr>
      <w:bookmarkStart w:id="302" w:name="_Toc13665027"/>
      <w:bookmarkStart w:id="303" w:name="_Toc13660620"/>
      <w:bookmarkStart w:id="304" w:name="_Toc17643097"/>
      <w:bookmarkStart w:id="305" w:name="_Toc17642948"/>
      <w:bookmarkStart w:id="306" w:name="_Toc26945"/>
      <w:bookmarkStart w:id="307" w:name="_Toc17642792"/>
      <w:r>
        <w:rPr>
          <w:rFonts w:hint="eastAsia"/>
        </w:rPr>
        <w:t>报警提示设备</w:t>
      </w:r>
      <w:bookmarkEnd w:id="302"/>
      <w:bookmarkEnd w:id="303"/>
      <w:bookmarkEnd w:id="304"/>
      <w:bookmarkEnd w:id="305"/>
      <w:bookmarkEnd w:id="306"/>
      <w:bookmarkEnd w:id="307"/>
    </w:p>
    <w:p>
      <w:pPr>
        <w:pStyle w:val="125"/>
        <w:tabs>
          <w:tab w:val="center" w:pos="4201"/>
          <w:tab w:val="right" w:leader="dot" w:pos="9298"/>
        </w:tabs>
        <w:rPr>
          <w:rFonts w:hint="eastAsia"/>
        </w:rPr>
      </w:pPr>
      <w:r>
        <w:rPr>
          <w:rFonts w:hint="eastAsia"/>
        </w:rPr>
        <w:t>4.1.5.1报警提示设备应安装在车，内为驾驶员提供危险状态报警提示和实时辅助驾驶信息显示，运用图标与声音共同结合进行提醒与警告。</w:t>
      </w:r>
    </w:p>
    <w:p>
      <w:pPr>
        <w:pStyle w:val="125"/>
        <w:tabs>
          <w:tab w:val="center" w:pos="4201"/>
          <w:tab w:val="right" w:leader="dot" w:pos="9298"/>
        </w:tabs>
      </w:pPr>
      <w:r>
        <w:rPr>
          <w:rFonts w:hint="eastAsia"/>
        </w:rPr>
        <w:t>4.1.5.2报警方式应在各种环境下清楚识别，报警提示设备支持本地和远程升级。</w:t>
      </w:r>
    </w:p>
    <w:p>
      <w:pPr>
        <w:pStyle w:val="63"/>
        <w:spacing w:before="156" w:after="156"/>
      </w:pPr>
      <w:bookmarkStart w:id="308" w:name="_Toc13660621"/>
      <w:bookmarkStart w:id="309" w:name="_Toc13665028"/>
      <w:bookmarkStart w:id="310" w:name="_Toc17642793"/>
      <w:bookmarkStart w:id="311" w:name="_Toc17642949"/>
      <w:bookmarkStart w:id="312" w:name="_Toc17643098"/>
      <w:bookmarkStart w:id="313" w:name="_Toc14444"/>
      <w:r>
        <w:rPr>
          <w:rFonts w:hint="eastAsia"/>
        </w:rPr>
        <w:t>灾备存储器</w:t>
      </w:r>
      <w:bookmarkEnd w:id="308"/>
      <w:bookmarkEnd w:id="309"/>
      <w:bookmarkEnd w:id="310"/>
      <w:bookmarkEnd w:id="311"/>
      <w:bookmarkEnd w:id="312"/>
      <w:bookmarkEnd w:id="313"/>
    </w:p>
    <w:p>
      <w:pPr>
        <w:pStyle w:val="125"/>
        <w:tabs>
          <w:tab w:val="center" w:pos="4201"/>
          <w:tab w:val="right" w:leader="dot" w:pos="9298"/>
        </w:tabs>
        <w:rPr>
          <w:sz w:val="24"/>
        </w:rPr>
      </w:pPr>
      <w:r>
        <w:rPr>
          <w:rFonts w:hint="eastAsia"/>
        </w:rPr>
        <w:t xml:space="preserve">4.1.6.1该存储器为选装部件，存储介质应支持 </w:t>
      </w:r>
      <w:r>
        <w:t>SD</w:t>
      </w:r>
      <w:r>
        <w:rPr>
          <w:rFonts w:hint="eastAsia"/>
        </w:rPr>
        <w:t xml:space="preserve"> 卡、</w:t>
      </w:r>
      <w:r>
        <w:t>SSD</w:t>
      </w:r>
      <w:r>
        <w:rPr>
          <w:rFonts w:hint="eastAsia"/>
        </w:rPr>
        <w:t xml:space="preserve"> 硬盘、</w:t>
      </w:r>
      <w:r>
        <w:t>HDD</w:t>
      </w:r>
      <w:r>
        <w:rPr>
          <w:rFonts w:hint="eastAsia"/>
        </w:rPr>
        <w:t xml:space="preserve"> 硬盘、</w:t>
      </w:r>
      <w:r>
        <w:t>HHD</w:t>
      </w:r>
      <w:r>
        <w:rPr>
          <w:rFonts w:hint="eastAsia"/>
        </w:rPr>
        <w:t xml:space="preserve"> 硬盘其中之一，也可同时支持多种介质；存储容量支持不少于 </w:t>
      </w:r>
      <w:r>
        <w:t>64GB</w:t>
      </w:r>
      <w:r>
        <w:rPr>
          <w:rFonts w:hint="eastAsia"/>
        </w:rPr>
        <w:t xml:space="preserve"> 的常见规格。</w:t>
      </w:r>
    </w:p>
    <w:p>
      <w:pPr>
        <w:pStyle w:val="125"/>
        <w:tabs>
          <w:tab w:val="center" w:pos="4201"/>
          <w:tab w:val="right" w:leader="dot" w:pos="9298"/>
        </w:tabs>
        <w:rPr>
          <w:sz w:val="24"/>
        </w:rPr>
      </w:pPr>
      <w:r>
        <w:rPr>
          <w:rFonts w:hint="eastAsia"/>
        </w:rPr>
        <w:t xml:space="preserve">4.1.6.2灾备存储器应符合 </w:t>
      </w:r>
      <w:r>
        <w:t>JT/T 1076-2016</w:t>
      </w:r>
      <w:r>
        <w:rPr>
          <w:rFonts w:hint="eastAsia"/>
        </w:rPr>
        <w:t xml:space="preserve"> 中附录 </w:t>
      </w:r>
      <w:r>
        <w:t>B</w:t>
      </w:r>
      <w:r>
        <w:rPr>
          <w:rFonts w:hint="eastAsia"/>
        </w:rPr>
        <w:t xml:space="preserve"> 的相关要求，具有防水、防火、防尘、防碰撞、防跌落等性能，</w:t>
      </w:r>
      <w:r>
        <w:t>IP</w:t>
      </w:r>
      <w:r>
        <w:rPr>
          <w:rFonts w:hint="eastAsia"/>
        </w:rPr>
        <w:t xml:space="preserve"> 防护等级应满足 </w:t>
      </w:r>
      <w:r>
        <w:t>IP66;</w:t>
      </w:r>
      <w:r>
        <w:rPr>
          <w:rFonts w:hint="eastAsia"/>
        </w:rPr>
        <w:t xml:space="preserve"> 应具有 </w:t>
      </w:r>
      <w:r>
        <w:t>USB Device 2.0</w:t>
      </w:r>
      <w:r>
        <w:rPr>
          <w:rFonts w:hint="eastAsia"/>
        </w:rPr>
        <w:t xml:space="preserve"> 或以上接口。对存储器内部数据应具有不易打开、不易篡改的保护功能。</w:t>
      </w:r>
    </w:p>
    <w:p>
      <w:pPr>
        <w:pStyle w:val="125"/>
        <w:tabs>
          <w:tab w:val="center" w:pos="4201"/>
          <w:tab w:val="right" w:leader="dot" w:pos="9298"/>
        </w:tabs>
        <w:rPr>
          <w:rFonts w:hint="eastAsia"/>
          <w:sz w:val="24"/>
        </w:rPr>
      </w:pPr>
      <w:r>
        <w:rPr>
          <w:rFonts w:hint="eastAsia"/>
        </w:rPr>
        <w:t xml:space="preserve">4.1.6.3灾备存储器至少应记录存储器停止工作时间点 </w:t>
      </w:r>
      <w:r>
        <w:t>2</w:t>
      </w:r>
      <w:r>
        <w:rPr>
          <w:rFonts w:hint="eastAsia"/>
        </w:rPr>
        <w:t xml:space="preserve"> 秒以前</w:t>
      </w:r>
      <w:r>
        <w:t>车辆的视频数据以及</w:t>
      </w:r>
      <w:r>
        <w:rPr>
          <w:rFonts w:hint="eastAsia"/>
        </w:rPr>
        <w:t>驾驶操作</w:t>
      </w:r>
      <w:r>
        <w:t>记录数据</w:t>
      </w:r>
      <w:r>
        <w:rPr>
          <w:rFonts w:hint="eastAsia"/>
        </w:rPr>
        <w:t>。</w:t>
      </w:r>
    </w:p>
    <w:p>
      <w:pPr>
        <w:pStyle w:val="63"/>
        <w:spacing w:before="156" w:after="156"/>
      </w:pPr>
      <w:bookmarkStart w:id="314" w:name="_Toc13660622"/>
      <w:bookmarkStart w:id="315" w:name="_Toc7109681"/>
      <w:bookmarkStart w:id="316" w:name="_Toc17642794"/>
      <w:bookmarkStart w:id="317" w:name="_Toc17643099"/>
      <w:bookmarkStart w:id="318" w:name="_Toc1976"/>
      <w:bookmarkStart w:id="319" w:name="_Toc13665029"/>
      <w:bookmarkStart w:id="320" w:name="_Toc17642950"/>
      <w:r>
        <w:rPr>
          <w:rFonts w:hint="eastAsia"/>
        </w:rPr>
        <w:t>其它</w:t>
      </w:r>
      <w:bookmarkEnd w:id="314"/>
      <w:bookmarkEnd w:id="315"/>
      <w:bookmarkEnd w:id="316"/>
      <w:bookmarkEnd w:id="317"/>
      <w:bookmarkEnd w:id="318"/>
      <w:bookmarkEnd w:id="319"/>
      <w:bookmarkEnd w:id="320"/>
    </w:p>
    <w:p>
      <w:pPr>
        <w:pStyle w:val="27"/>
        <w:rPr>
          <w:sz w:val="24"/>
        </w:rPr>
      </w:pPr>
      <w:r>
        <w:rPr>
          <w:rFonts w:hint="eastAsia"/>
        </w:rPr>
        <w:t>预警系统各模块的外观、铭牌、文字、图形、标志、材质和机壳防护应符合 JT/T 794-2011 的要求。</w:t>
      </w:r>
    </w:p>
    <w:p>
      <w:pPr>
        <w:pStyle w:val="97"/>
      </w:pPr>
      <w:bookmarkStart w:id="321" w:name="_Toc7109682"/>
      <w:bookmarkStart w:id="322" w:name="_Toc13658926"/>
      <w:bookmarkStart w:id="323" w:name="_Toc13665030"/>
      <w:bookmarkStart w:id="324" w:name="_Toc17565880"/>
      <w:bookmarkStart w:id="325" w:name="_Toc17642795"/>
      <w:bookmarkStart w:id="326" w:name="_Toc13509_WPSOffice_Level1"/>
      <w:bookmarkStart w:id="327" w:name="_Toc5017"/>
      <w:bookmarkStart w:id="328" w:name="_Toc17563777"/>
      <w:bookmarkStart w:id="329" w:name="_Toc14561_WPSOffice_Level1"/>
      <w:bookmarkStart w:id="330" w:name="_Toc17642951"/>
      <w:bookmarkStart w:id="331" w:name="_Toc18102100"/>
      <w:bookmarkStart w:id="332" w:name="_Toc17643100"/>
      <w:bookmarkStart w:id="333" w:name="_Toc18138065"/>
      <w:r>
        <w:rPr>
          <w:rFonts w:hint="eastAsia"/>
        </w:rPr>
        <w:t>功能要求</w:t>
      </w:r>
      <w:bookmarkEnd w:id="321"/>
      <w:bookmarkEnd w:id="322"/>
      <w:bookmarkEnd w:id="323"/>
      <w:bookmarkEnd w:id="324"/>
      <w:bookmarkEnd w:id="325"/>
      <w:bookmarkEnd w:id="326"/>
      <w:bookmarkEnd w:id="327"/>
      <w:bookmarkEnd w:id="328"/>
      <w:bookmarkEnd w:id="329"/>
      <w:bookmarkEnd w:id="330"/>
      <w:bookmarkEnd w:id="331"/>
      <w:bookmarkEnd w:id="332"/>
      <w:bookmarkEnd w:id="333"/>
    </w:p>
    <w:p>
      <w:pPr>
        <w:pStyle w:val="64"/>
        <w:ind w:hanging="709" w:hangingChars="338"/>
      </w:pPr>
      <w:bookmarkStart w:id="334" w:name="_Toc17739_WPSOffice_Level1"/>
      <w:bookmarkStart w:id="335" w:name="_Toc12823"/>
      <w:bookmarkStart w:id="336" w:name="_Toc13665040"/>
      <w:bookmarkStart w:id="337" w:name="_Toc18102101"/>
      <w:bookmarkStart w:id="338" w:name="_Toc17563778"/>
      <w:bookmarkStart w:id="339" w:name="_Toc17642952"/>
      <w:bookmarkStart w:id="340" w:name="_Toc18138066"/>
      <w:bookmarkStart w:id="341" w:name="_Toc17565881"/>
      <w:bookmarkStart w:id="342" w:name="_Toc435_WPSOffice_Level1"/>
      <w:bookmarkStart w:id="343" w:name="_Toc17642796"/>
      <w:bookmarkStart w:id="344" w:name="_Toc17643101"/>
      <w:r>
        <w:rPr>
          <w:rFonts w:hint="eastAsia"/>
        </w:rPr>
        <w:t>车辆运行监测功能</w:t>
      </w:r>
      <w:bookmarkEnd w:id="334"/>
      <w:bookmarkEnd w:id="335"/>
      <w:bookmarkEnd w:id="336"/>
      <w:bookmarkEnd w:id="337"/>
      <w:bookmarkEnd w:id="338"/>
      <w:bookmarkEnd w:id="339"/>
      <w:bookmarkEnd w:id="340"/>
      <w:bookmarkEnd w:id="341"/>
      <w:bookmarkEnd w:id="342"/>
      <w:bookmarkEnd w:id="343"/>
      <w:bookmarkEnd w:id="344"/>
    </w:p>
    <w:p>
      <w:pPr>
        <w:pStyle w:val="63"/>
        <w:spacing w:before="156" w:after="156"/>
      </w:pPr>
      <w:bookmarkStart w:id="345" w:name="_Toc13660634"/>
      <w:bookmarkStart w:id="346" w:name="_Toc17642797"/>
      <w:bookmarkStart w:id="347" w:name="_Toc17642953"/>
      <w:bookmarkStart w:id="348" w:name="_Toc17643102"/>
      <w:bookmarkStart w:id="349" w:name="_Toc13665041"/>
      <w:bookmarkStart w:id="350" w:name="_Toc16875"/>
      <w:r>
        <w:rPr>
          <w:rFonts w:hint="eastAsia"/>
        </w:rPr>
        <w:t>功能说明</w:t>
      </w:r>
      <w:bookmarkEnd w:id="345"/>
      <w:bookmarkEnd w:id="346"/>
      <w:bookmarkEnd w:id="347"/>
      <w:bookmarkEnd w:id="348"/>
      <w:bookmarkEnd w:id="349"/>
      <w:bookmarkEnd w:id="350"/>
    </w:p>
    <w:p>
      <w:pPr>
        <w:pStyle w:val="125"/>
        <w:tabs>
          <w:tab w:val="center" w:pos="4201"/>
          <w:tab w:val="right" w:leader="dot" w:pos="9298"/>
        </w:tabs>
      </w:pPr>
      <w:r>
        <w:rPr>
          <w:rFonts w:hint="eastAsia"/>
        </w:rPr>
        <w:t>5.1.1.1车辆运行监测功能应具备前车碰撞报警、车道偏离报警、车距过近报警（选配）、行人碰撞报警（选配）、主动拍照（选配）功能。</w:t>
      </w:r>
    </w:p>
    <w:p>
      <w:pPr>
        <w:pStyle w:val="125"/>
        <w:tabs>
          <w:tab w:val="center" w:pos="4201"/>
          <w:tab w:val="right" w:leader="dot" w:pos="9298"/>
        </w:tabs>
      </w:pPr>
      <w:r>
        <w:rPr>
          <w:rFonts w:hint="eastAsia"/>
        </w:rPr>
        <w:t>5.1.1.2 A</w:t>
      </w:r>
      <w:r>
        <w:t>DAS摄像机视频分辨率</w:t>
      </w:r>
      <w:r>
        <w:rPr>
          <w:rFonts w:hint="eastAsia"/>
        </w:rPr>
        <w:t>不低于1280*720。</w:t>
      </w:r>
    </w:p>
    <w:p>
      <w:pPr>
        <w:pStyle w:val="63"/>
        <w:spacing w:before="156" w:after="156"/>
      </w:pPr>
      <w:bookmarkStart w:id="351" w:name="_Toc13660635"/>
      <w:bookmarkStart w:id="352" w:name="_Toc17642798"/>
      <w:bookmarkStart w:id="353" w:name="_Toc17643103"/>
      <w:bookmarkStart w:id="354" w:name="_Toc17642954"/>
      <w:bookmarkStart w:id="355" w:name="_Toc13665042"/>
      <w:bookmarkStart w:id="356" w:name="_Toc31606"/>
      <w:bookmarkStart w:id="357" w:name="_Toc7109691"/>
      <w:r>
        <w:rPr>
          <w:rFonts w:hint="eastAsia"/>
        </w:rPr>
        <w:t>前车碰撞预警</w:t>
      </w:r>
      <w:bookmarkEnd w:id="351"/>
      <w:bookmarkEnd w:id="352"/>
      <w:bookmarkEnd w:id="353"/>
      <w:bookmarkEnd w:id="354"/>
      <w:bookmarkEnd w:id="355"/>
      <w:bookmarkEnd w:id="356"/>
      <w:bookmarkEnd w:id="357"/>
    </w:p>
    <w:p>
      <w:pPr>
        <w:pStyle w:val="125"/>
        <w:tabs>
          <w:tab w:val="center" w:pos="4201"/>
          <w:tab w:val="right" w:leader="dot" w:pos="9298"/>
        </w:tabs>
      </w:pPr>
      <w:r>
        <w:rPr>
          <w:rFonts w:hint="eastAsia"/>
        </w:rPr>
        <w:t>5.1.2.1前车碰撞预警功能应符合 JT/T 883-2014 标准 5.3 条要求,且应具备以下功能：</w:t>
      </w:r>
    </w:p>
    <w:p>
      <w:pPr>
        <w:pStyle w:val="145"/>
        <w:numPr>
          <w:ilvl w:val="0"/>
          <w:numId w:val="18"/>
        </w:numPr>
        <w:tabs>
          <w:tab w:val="center" w:pos="4201"/>
          <w:tab w:val="right" w:leader="dot" w:pos="9298"/>
        </w:tabs>
      </w:pPr>
      <w:r>
        <w:rPr>
          <w:rFonts w:hint="eastAsia"/>
        </w:rPr>
        <w:t>能够在以下状况下正常工作：</w:t>
      </w:r>
    </w:p>
    <w:p>
      <w:pPr>
        <w:pStyle w:val="149"/>
        <w:tabs>
          <w:tab w:val="center" w:pos="4201"/>
          <w:tab w:val="right" w:leader="dot" w:pos="9298"/>
        </w:tabs>
      </w:pPr>
      <w:r>
        <w:rPr>
          <w:rFonts w:hint="eastAsia"/>
        </w:rPr>
        <w:t>包含晴天、雨雪天气、雾霾天气等在内的各类天气情况；</w:t>
      </w:r>
    </w:p>
    <w:p>
      <w:pPr>
        <w:pStyle w:val="149"/>
        <w:tabs>
          <w:tab w:val="center" w:pos="4201"/>
          <w:tab w:val="right" w:leader="dot" w:pos="9298"/>
        </w:tabs>
      </w:pPr>
      <w:r>
        <w:rPr>
          <w:rFonts w:hint="eastAsia"/>
        </w:rPr>
        <w:t>白天、黄昏、夜晚、黎明等不同时间、不同光照条件；</w:t>
      </w:r>
    </w:p>
    <w:p>
      <w:pPr>
        <w:pStyle w:val="149"/>
        <w:tabs>
          <w:tab w:val="center" w:pos="4201"/>
          <w:tab w:val="right" w:leader="dot" w:pos="9298"/>
        </w:tabs>
      </w:pPr>
      <w:r>
        <w:rPr>
          <w:rFonts w:hint="eastAsia"/>
        </w:rPr>
        <w:t>国内所有等级道路。</w:t>
      </w:r>
    </w:p>
    <w:p>
      <w:pPr>
        <w:pStyle w:val="145"/>
        <w:numPr>
          <w:ilvl w:val="0"/>
          <w:numId w:val="18"/>
        </w:numPr>
        <w:tabs>
          <w:tab w:val="center" w:pos="4201"/>
          <w:tab w:val="right" w:leader="dot" w:pos="9298"/>
        </w:tabs>
        <w:rPr>
          <w:rFonts w:hint="eastAsia"/>
          <w:szCs w:val="22"/>
        </w:rPr>
      </w:pPr>
      <w:r>
        <w:rPr>
          <w:rFonts w:hint="eastAsia"/>
          <w:szCs w:val="22"/>
        </w:rPr>
        <w:t>预警系统系统应具有区分护栏、标志和桥梁等路边静止对象和正在同车道行进的前车、反向车道的车辆等功能；</w:t>
      </w:r>
    </w:p>
    <w:p>
      <w:pPr>
        <w:pStyle w:val="125"/>
        <w:tabs>
          <w:tab w:val="center" w:pos="4201"/>
          <w:tab w:val="right" w:leader="dot" w:pos="9298"/>
        </w:tabs>
      </w:pPr>
      <w:r>
        <w:rPr>
          <w:rFonts w:hint="eastAsia"/>
        </w:rPr>
        <w:t>5.1.2.2在双向弯道条件下，预警系统应具有区分同向车道前车和反向车道的车辆的功能,潜在前撞状况包含但不限于下列状况：</w:t>
      </w:r>
    </w:p>
    <w:p>
      <w:pPr>
        <w:pStyle w:val="145"/>
        <w:numPr>
          <w:ilvl w:val="0"/>
          <w:numId w:val="22"/>
        </w:numPr>
        <w:tabs>
          <w:tab w:val="center" w:pos="4201"/>
          <w:tab w:val="right" w:leader="dot" w:pos="9298"/>
        </w:tabs>
      </w:pPr>
      <w:r>
        <w:rPr>
          <w:rFonts w:hint="eastAsia"/>
        </w:rPr>
        <w:t>自车匀速靠近静止的前车，自车车速大于30km/h；</w:t>
      </w:r>
    </w:p>
    <w:p>
      <w:pPr>
        <w:pStyle w:val="145"/>
        <w:numPr>
          <w:ilvl w:val="0"/>
          <w:numId w:val="22"/>
        </w:numPr>
        <w:tabs>
          <w:tab w:val="center" w:pos="4201"/>
          <w:tab w:val="right" w:leader="dot" w:pos="9298"/>
        </w:tabs>
      </w:pPr>
      <w:r>
        <w:rPr>
          <w:rFonts w:hint="eastAsia"/>
        </w:rPr>
        <w:t>自车匀速靠近匀速行驶的前车，前车车速小于自车车速，自车车速大于50km/h；</w:t>
      </w:r>
    </w:p>
    <w:p>
      <w:pPr>
        <w:pStyle w:val="145"/>
        <w:numPr>
          <w:ilvl w:val="0"/>
          <w:numId w:val="22"/>
        </w:numPr>
        <w:tabs>
          <w:tab w:val="center" w:pos="4201"/>
          <w:tab w:val="right" w:leader="dot" w:pos="9298"/>
        </w:tabs>
      </w:pPr>
      <w:r>
        <w:rPr>
          <w:rFonts w:hint="eastAsia"/>
        </w:rPr>
        <w:t>自车跟随前车匀速行驶，前车突然持续减速，自车车速大于30km/h。</w:t>
      </w:r>
    </w:p>
    <w:p>
      <w:pPr>
        <w:pStyle w:val="63"/>
        <w:spacing w:before="156" w:after="156"/>
      </w:pPr>
      <w:bookmarkStart w:id="358" w:name="_Toc13660636"/>
      <w:bookmarkStart w:id="359" w:name="_Toc13665043"/>
      <w:bookmarkStart w:id="360" w:name="_Toc7109693"/>
      <w:bookmarkStart w:id="361" w:name="_Toc17643104"/>
      <w:bookmarkStart w:id="362" w:name="_Toc17642955"/>
      <w:bookmarkStart w:id="363" w:name="_Toc17642799"/>
      <w:bookmarkStart w:id="364" w:name="_Toc21234"/>
      <w:r>
        <w:rPr>
          <w:rFonts w:hint="eastAsia"/>
        </w:rPr>
        <w:t>车道偏离预警</w:t>
      </w:r>
      <w:bookmarkEnd w:id="358"/>
      <w:bookmarkEnd w:id="359"/>
      <w:bookmarkEnd w:id="360"/>
      <w:bookmarkEnd w:id="361"/>
      <w:bookmarkEnd w:id="362"/>
      <w:bookmarkEnd w:id="363"/>
      <w:bookmarkEnd w:id="364"/>
    </w:p>
    <w:p>
      <w:pPr>
        <w:pStyle w:val="27"/>
      </w:pPr>
      <w:r>
        <w:rPr>
          <w:rFonts w:hint="eastAsia"/>
        </w:rPr>
        <w:t>终端应符合 JT/T 883-2014 标准 5.4 要求，且符合以下功能要求：</w:t>
      </w:r>
    </w:p>
    <w:p>
      <w:pPr>
        <w:pStyle w:val="145"/>
        <w:numPr>
          <w:ilvl w:val="0"/>
          <w:numId w:val="23"/>
        </w:numPr>
        <w:tabs>
          <w:tab w:val="center" w:pos="4201"/>
          <w:tab w:val="right" w:leader="dot" w:pos="9298"/>
        </w:tabs>
      </w:pPr>
      <w:r>
        <w:rPr>
          <w:rFonts w:hint="eastAsia"/>
        </w:rPr>
        <w:t>具备正确区分驾驶员正常变道和车道偏离的功能；</w:t>
      </w:r>
    </w:p>
    <w:p>
      <w:pPr>
        <w:pStyle w:val="145"/>
        <w:numPr>
          <w:ilvl w:val="0"/>
          <w:numId w:val="23"/>
        </w:numPr>
        <w:tabs>
          <w:tab w:val="center" w:pos="4201"/>
          <w:tab w:val="right" w:leader="dot" w:pos="9298"/>
        </w:tabs>
      </w:pPr>
      <w:r>
        <w:rPr>
          <w:rFonts w:hint="eastAsia"/>
        </w:rPr>
        <w:t>能够在以下状况下正常工作：</w:t>
      </w:r>
    </w:p>
    <w:p>
      <w:pPr>
        <w:pStyle w:val="27"/>
      </w:pPr>
      <w:r>
        <w:rPr>
          <w:rFonts w:hint="eastAsia"/>
        </w:rPr>
        <w:t>——包含晴天、雨雪天气、雾霾天气等在内的各类天气情况；</w:t>
      </w:r>
    </w:p>
    <w:p>
      <w:pPr>
        <w:pStyle w:val="27"/>
      </w:pPr>
      <w:r>
        <w:rPr>
          <w:rFonts w:hint="eastAsia"/>
        </w:rPr>
        <w:t>——白天、黄昏、夜晚、黎明等不同时间、不同光照条件；</w:t>
      </w:r>
    </w:p>
    <w:p>
      <w:pPr>
        <w:pStyle w:val="27"/>
      </w:pPr>
      <w:r>
        <w:rPr>
          <w:rFonts w:hint="eastAsia"/>
        </w:rPr>
        <w:t>——国内所有等级道路。</w:t>
      </w:r>
    </w:p>
    <w:p>
      <w:pPr>
        <w:pStyle w:val="145"/>
        <w:numPr>
          <w:ilvl w:val="0"/>
          <w:numId w:val="23"/>
        </w:numPr>
        <w:tabs>
          <w:tab w:val="center" w:pos="4201"/>
          <w:tab w:val="right" w:leader="dot" w:pos="9298"/>
        </w:tabs>
        <w:rPr>
          <w:szCs w:val="22"/>
        </w:rPr>
      </w:pPr>
      <w:r>
        <w:rPr>
          <w:szCs w:val="22"/>
        </w:rPr>
        <w:t>具备以下识别功能：</w:t>
      </w:r>
    </w:p>
    <w:p>
      <w:pPr>
        <w:pStyle w:val="27"/>
      </w:pPr>
      <w:r>
        <w:rPr>
          <w:rFonts w:hint="eastAsia"/>
        </w:rPr>
        <w:t>——黄色和白色实线；</w:t>
      </w:r>
    </w:p>
    <w:p>
      <w:pPr>
        <w:pStyle w:val="27"/>
      </w:pPr>
      <w:r>
        <w:rPr>
          <w:rFonts w:hint="eastAsia"/>
        </w:rPr>
        <w:t>——黄色和白色虚线；</w:t>
      </w:r>
    </w:p>
    <w:p>
      <w:pPr>
        <w:pStyle w:val="27"/>
      </w:pPr>
      <w:r>
        <w:rPr>
          <w:rFonts w:hint="eastAsia"/>
        </w:rPr>
        <w:t>——双黄和双白实线；</w:t>
      </w:r>
    </w:p>
    <w:p>
      <w:pPr>
        <w:pStyle w:val="27"/>
      </w:pPr>
      <w:r>
        <w:rPr>
          <w:rFonts w:hint="eastAsia"/>
        </w:rPr>
        <w:t>——双黄和双白虚线；</w:t>
      </w:r>
    </w:p>
    <w:p>
      <w:pPr>
        <w:pStyle w:val="27"/>
      </w:pPr>
      <w:r>
        <w:rPr>
          <w:rFonts w:hint="eastAsia"/>
        </w:rPr>
        <w:t>——黄色和白色虚实线。</w:t>
      </w:r>
    </w:p>
    <w:p>
      <w:pPr>
        <w:pStyle w:val="63"/>
        <w:spacing w:before="156" w:after="156"/>
      </w:pPr>
      <w:bookmarkStart w:id="365" w:name="_Toc17642956"/>
      <w:bookmarkStart w:id="366" w:name="_Toc17643105"/>
      <w:bookmarkStart w:id="367" w:name="_Toc17642800"/>
      <w:bookmarkStart w:id="368" w:name="_Toc13665044"/>
      <w:bookmarkStart w:id="369" w:name="_Toc13660637"/>
      <w:bookmarkStart w:id="370" w:name="_Toc17045"/>
      <w:r>
        <w:rPr>
          <w:rFonts w:hint="eastAsia"/>
        </w:rPr>
        <w:t>车距过</w:t>
      </w:r>
      <w:r>
        <w:t>近报警</w:t>
      </w:r>
      <w:r>
        <w:rPr>
          <w:rFonts w:hint="eastAsia"/>
        </w:rPr>
        <w:t>（选配）</w:t>
      </w:r>
      <w:bookmarkEnd w:id="365"/>
      <w:bookmarkEnd w:id="366"/>
      <w:bookmarkEnd w:id="367"/>
      <w:bookmarkEnd w:id="368"/>
      <w:bookmarkEnd w:id="369"/>
      <w:bookmarkEnd w:id="370"/>
    </w:p>
    <w:p>
      <w:pPr>
        <w:pStyle w:val="27"/>
      </w:pPr>
      <w:bookmarkStart w:id="371" w:name="page7"/>
      <w:bookmarkEnd w:id="371"/>
      <w:r>
        <w:rPr>
          <w:rFonts w:hint="eastAsia"/>
        </w:rPr>
        <w:t>车辆在行驶过程中，终端应能够实时监测与前车的距离时间，且应具备以下功能：</w:t>
      </w:r>
    </w:p>
    <w:p>
      <w:pPr>
        <w:pStyle w:val="145"/>
        <w:numPr>
          <w:ilvl w:val="0"/>
          <w:numId w:val="24"/>
        </w:numPr>
        <w:tabs>
          <w:tab w:val="center" w:pos="4201"/>
          <w:tab w:val="right" w:leader="dot" w:pos="9298"/>
        </w:tabs>
        <w:rPr>
          <w:rFonts w:hint="eastAsia"/>
          <w:szCs w:val="22"/>
        </w:rPr>
      </w:pPr>
      <w:r>
        <w:rPr>
          <w:szCs w:val="22"/>
        </w:rPr>
        <w:t>具有区分正在同车道行进的前车、反向车道的车辆的功能；</w:t>
      </w:r>
    </w:p>
    <w:p>
      <w:pPr>
        <w:pStyle w:val="145"/>
        <w:numPr>
          <w:ilvl w:val="0"/>
          <w:numId w:val="24"/>
        </w:numPr>
        <w:tabs>
          <w:tab w:val="center" w:pos="4201"/>
          <w:tab w:val="right" w:leader="dot" w:pos="9298"/>
        </w:tabs>
        <w:rPr>
          <w:rFonts w:hint="eastAsia"/>
          <w:szCs w:val="22"/>
        </w:rPr>
      </w:pPr>
      <w:r>
        <w:rPr>
          <w:szCs w:val="22"/>
        </w:rPr>
        <w:t>在双向弯道条件下，终端应具有区分同向车道前车和反向车道的车辆的功能；</w:t>
      </w:r>
    </w:p>
    <w:p>
      <w:pPr>
        <w:pStyle w:val="145"/>
        <w:numPr>
          <w:ilvl w:val="0"/>
          <w:numId w:val="24"/>
        </w:numPr>
        <w:tabs>
          <w:tab w:val="center" w:pos="4201"/>
          <w:tab w:val="right" w:leader="dot" w:pos="9298"/>
        </w:tabs>
        <w:rPr>
          <w:rFonts w:hint="eastAsia"/>
          <w:szCs w:val="22"/>
        </w:rPr>
      </w:pPr>
      <w:r>
        <w:rPr>
          <w:szCs w:val="22"/>
        </w:rPr>
        <w:t>具备设置报警分级速度阈值与安全距离时间阈值的功能：</w:t>
      </w:r>
    </w:p>
    <w:p>
      <w:pPr>
        <w:pStyle w:val="149"/>
        <w:tabs>
          <w:tab w:val="center" w:pos="4201"/>
          <w:tab w:val="right" w:leader="dot" w:pos="9298"/>
        </w:tabs>
      </w:pPr>
      <w:r>
        <w:rPr>
          <w:rFonts w:hint="eastAsia"/>
        </w:rPr>
        <w:t>当车辆速度低于报警分级速度阈值时，若与前车距离时间低于安全距离时间阈值，产生一级报警，同时进行语音报警提示或者显示报警提示；</w:t>
      </w:r>
    </w:p>
    <w:p>
      <w:pPr>
        <w:pStyle w:val="149"/>
        <w:tabs>
          <w:tab w:val="center" w:pos="4201"/>
          <w:tab w:val="right" w:leader="dot" w:pos="9298"/>
        </w:tabs>
      </w:pPr>
      <w:r>
        <w:rPr>
          <w:rFonts w:hint="eastAsia"/>
        </w:rPr>
        <w:t>当车辆速度高于报警分级速度阈值时，若与前车距离时间低于安全距离时间阈值，产生二级报警，同时进行语音报警提示或者显示报警提示；</w:t>
      </w:r>
    </w:p>
    <w:p>
      <w:pPr>
        <w:pStyle w:val="149"/>
        <w:tabs>
          <w:tab w:val="center" w:pos="4201"/>
          <w:tab w:val="right" w:leader="dot" w:pos="9298"/>
        </w:tabs>
      </w:pPr>
      <w:r>
        <w:rPr>
          <w:rFonts w:hint="eastAsia"/>
        </w:rPr>
        <w:t>产生报警时，终端应向平台发送车距过近报警信息，信息需包含报警级别。若报警级别为二级报警，则终端还需保存报警点至少包含车外前部区域的照片和视频，并上传至平台。</w:t>
      </w:r>
    </w:p>
    <w:p>
      <w:pPr>
        <w:spacing w:line="61" w:lineRule="exact"/>
        <w:ind w:firstLine="420"/>
        <w:jc w:val="left"/>
        <w:rPr>
          <w:rFonts w:eastAsia="Calibri"/>
        </w:rPr>
      </w:pPr>
    </w:p>
    <w:p>
      <w:pPr>
        <w:pStyle w:val="63"/>
        <w:spacing w:before="156" w:after="156"/>
      </w:pPr>
      <w:bookmarkStart w:id="372" w:name="_Toc7109694"/>
      <w:bookmarkStart w:id="373" w:name="_Toc17642957"/>
      <w:bookmarkStart w:id="374" w:name="_Toc17643106"/>
      <w:bookmarkStart w:id="375" w:name="_Toc18969"/>
      <w:bookmarkStart w:id="376" w:name="_Toc13660638"/>
      <w:bookmarkStart w:id="377" w:name="_Toc13665045"/>
      <w:bookmarkStart w:id="378" w:name="_Toc17642801"/>
      <w:r>
        <w:rPr>
          <w:rFonts w:hint="eastAsia"/>
        </w:rPr>
        <w:t>行人碰撞预警</w:t>
      </w:r>
      <w:bookmarkEnd w:id="372"/>
      <w:r>
        <w:rPr>
          <w:rFonts w:hint="eastAsia"/>
        </w:rPr>
        <w:t>（选配）</w:t>
      </w:r>
      <w:bookmarkEnd w:id="373"/>
      <w:bookmarkEnd w:id="374"/>
      <w:bookmarkEnd w:id="375"/>
      <w:bookmarkEnd w:id="376"/>
      <w:bookmarkEnd w:id="377"/>
      <w:bookmarkEnd w:id="378"/>
    </w:p>
    <w:p>
      <w:pPr>
        <w:pStyle w:val="27"/>
      </w:pPr>
      <w:r>
        <w:rPr>
          <w:rFonts w:hint="eastAsia"/>
        </w:rPr>
        <w:t>车辆行驶过程中，终端可具备行人碰撞报警功能，此功能需符合以下要求：</w:t>
      </w:r>
    </w:p>
    <w:p>
      <w:pPr>
        <w:pStyle w:val="145"/>
        <w:numPr>
          <w:ilvl w:val="0"/>
          <w:numId w:val="25"/>
        </w:numPr>
        <w:tabs>
          <w:tab w:val="center" w:pos="4201"/>
          <w:tab w:val="right" w:leader="dot" w:pos="9298"/>
        </w:tabs>
        <w:rPr>
          <w:szCs w:val="22"/>
        </w:rPr>
      </w:pPr>
      <w:r>
        <w:rPr>
          <w:szCs w:val="22"/>
        </w:rPr>
        <w:t>能够在以下状况下正常工作：</w:t>
      </w:r>
    </w:p>
    <w:p>
      <w:pPr>
        <w:pStyle w:val="149"/>
        <w:tabs>
          <w:tab w:val="center" w:pos="4201"/>
          <w:tab w:val="right" w:leader="dot" w:pos="9298"/>
        </w:tabs>
      </w:pPr>
      <w:r>
        <w:rPr>
          <w:rFonts w:hint="eastAsia"/>
        </w:rPr>
        <w:t>包含晴天、雨雪天气、雾霾天气等在内的各类天气情况；</w:t>
      </w:r>
    </w:p>
    <w:p>
      <w:pPr>
        <w:pStyle w:val="149"/>
        <w:tabs>
          <w:tab w:val="center" w:pos="4201"/>
          <w:tab w:val="right" w:leader="dot" w:pos="9298"/>
        </w:tabs>
      </w:pPr>
      <w:r>
        <w:rPr>
          <w:rFonts w:hint="eastAsia"/>
        </w:rPr>
        <w:t>白天、黄昏、夜晚、黎明等不同时间、不同光照条件；</w:t>
      </w:r>
    </w:p>
    <w:p>
      <w:pPr>
        <w:pStyle w:val="149"/>
        <w:tabs>
          <w:tab w:val="center" w:pos="4201"/>
          <w:tab w:val="right" w:leader="dot" w:pos="9298"/>
        </w:tabs>
        <w:rPr>
          <w:rFonts w:hint="eastAsia"/>
          <w:szCs w:val="22"/>
        </w:rPr>
      </w:pPr>
      <w:r>
        <w:rPr>
          <w:rFonts w:hint="eastAsia"/>
        </w:rPr>
        <w:t>国内所有等级道路。</w:t>
      </w:r>
    </w:p>
    <w:p>
      <w:pPr>
        <w:pStyle w:val="145"/>
        <w:numPr>
          <w:ilvl w:val="0"/>
          <w:numId w:val="25"/>
        </w:numPr>
        <w:tabs>
          <w:tab w:val="center" w:pos="4201"/>
          <w:tab w:val="right" w:leader="dot" w:pos="9298"/>
        </w:tabs>
        <w:rPr>
          <w:szCs w:val="22"/>
        </w:rPr>
      </w:pPr>
      <w:r>
        <w:rPr>
          <w:szCs w:val="22"/>
        </w:rPr>
        <w:t>具备区分车辆前方行人与路侧行人的功能；</w:t>
      </w:r>
    </w:p>
    <w:p>
      <w:pPr>
        <w:pStyle w:val="145"/>
        <w:numPr>
          <w:ilvl w:val="0"/>
          <w:numId w:val="25"/>
        </w:numPr>
        <w:tabs>
          <w:tab w:val="center" w:pos="4201"/>
          <w:tab w:val="right" w:leader="dot" w:pos="9298"/>
        </w:tabs>
        <w:rPr>
          <w:szCs w:val="22"/>
        </w:rPr>
      </w:pPr>
      <w:r>
        <w:rPr>
          <w:szCs w:val="22"/>
        </w:rPr>
        <w:t>具备检测各种状态行人的功能，行人状态包括且不限于步行、跑步、下蹲、打伞、骑车等；</w:t>
      </w:r>
    </w:p>
    <w:p>
      <w:pPr>
        <w:pStyle w:val="145"/>
        <w:numPr>
          <w:ilvl w:val="0"/>
          <w:numId w:val="25"/>
        </w:numPr>
        <w:tabs>
          <w:tab w:val="center" w:pos="4201"/>
          <w:tab w:val="right" w:leader="dot" w:pos="9298"/>
        </w:tabs>
        <w:rPr>
          <w:rFonts w:hint="eastAsia"/>
          <w:szCs w:val="22"/>
        </w:rPr>
      </w:pPr>
      <w:r>
        <w:rPr>
          <w:szCs w:val="22"/>
        </w:rPr>
        <w:t>具备设置报警分级速度阈值的功能：</w:t>
      </w:r>
    </w:p>
    <w:p>
      <w:pPr>
        <w:pStyle w:val="149"/>
        <w:tabs>
          <w:tab w:val="center" w:pos="4201"/>
          <w:tab w:val="right" w:leader="dot" w:pos="9298"/>
        </w:tabs>
      </w:pPr>
      <w:r>
        <w:rPr>
          <w:rFonts w:hint="eastAsia"/>
        </w:rPr>
        <w:t>当车辆速度低于报警分级速度阈值时，若检测到与行人距离时间小于行人碰撞报警时间阈值，产生一级报警，同时进行语音报警提示或者显示报警提示；</w:t>
      </w:r>
    </w:p>
    <w:p>
      <w:pPr>
        <w:pStyle w:val="149"/>
        <w:tabs>
          <w:tab w:val="center" w:pos="4201"/>
          <w:tab w:val="right" w:leader="dot" w:pos="9298"/>
        </w:tabs>
      </w:pPr>
      <w:r>
        <w:rPr>
          <w:rFonts w:hint="eastAsia"/>
        </w:rPr>
        <w:t>当车辆速度高于报警分级速度阈值时，若检测到与行人距离时间小于行人碰撞报警时间阈值，产生二级报警，同时进行语音报警提示或者显示报警提示；</w:t>
      </w:r>
    </w:p>
    <w:p>
      <w:pPr>
        <w:pStyle w:val="149"/>
        <w:tabs>
          <w:tab w:val="center" w:pos="4201"/>
          <w:tab w:val="right" w:leader="dot" w:pos="9298"/>
        </w:tabs>
      </w:pPr>
      <w:r>
        <w:rPr>
          <w:rFonts w:hint="eastAsia"/>
        </w:rPr>
        <w:t>产生报警时，终端应向平台发送行人碰撞报警信息，信息需包含报警级别。若报警级别为二级报警，则终端还需保存报警点至少包含车外前部区域的照片和视频，并上传至平台。</w:t>
      </w:r>
    </w:p>
    <w:p>
      <w:pPr>
        <w:pStyle w:val="63"/>
        <w:spacing w:before="156" w:after="156"/>
      </w:pPr>
      <w:bookmarkStart w:id="379" w:name="_Toc7109695"/>
      <w:bookmarkStart w:id="380" w:name="_Toc17642802"/>
      <w:bookmarkStart w:id="381" w:name="_Toc13665046"/>
      <w:bookmarkStart w:id="382" w:name="_Toc13660639"/>
      <w:bookmarkStart w:id="383" w:name="_Toc17974"/>
      <w:bookmarkStart w:id="384" w:name="_Toc17643107"/>
      <w:bookmarkStart w:id="385" w:name="_Toc17642958"/>
      <w:r>
        <w:rPr>
          <w:rFonts w:hint="eastAsia"/>
        </w:rPr>
        <w:t>主动拍照</w:t>
      </w:r>
      <w:bookmarkEnd w:id="379"/>
      <w:r>
        <w:rPr>
          <w:rFonts w:hint="eastAsia"/>
        </w:rPr>
        <w:t>（选配）</w:t>
      </w:r>
      <w:bookmarkEnd w:id="380"/>
      <w:bookmarkEnd w:id="381"/>
      <w:bookmarkEnd w:id="382"/>
      <w:bookmarkEnd w:id="383"/>
      <w:bookmarkEnd w:id="384"/>
      <w:bookmarkEnd w:id="385"/>
    </w:p>
    <w:p>
      <w:pPr>
        <w:pStyle w:val="125"/>
        <w:tabs>
          <w:tab w:val="center" w:pos="4201"/>
          <w:tab w:val="right" w:leader="dot" w:pos="9298"/>
        </w:tabs>
        <w:rPr>
          <w:rFonts w:hint="eastAsia"/>
        </w:rPr>
      </w:pPr>
      <w:r>
        <w:rPr>
          <w:rFonts w:hint="eastAsia" w:ascii="黑体" w:hAnsi="黑体" w:eastAsia="黑体"/>
        </w:rPr>
        <w:t>5.1.6.1</w:t>
      </w:r>
      <w:r>
        <w:rPr>
          <w:rFonts w:hint="eastAsia"/>
        </w:rPr>
        <w:t xml:space="preserve">终端应具备主动拍照的功能，在车辆行驶过程中，终端 </w:t>
      </w:r>
      <w:r>
        <w:t>ADAS</w:t>
      </w:r>
      <w:r>
        <w:rPr>
          <w:rFonts w:hint="eastAsia"/>
        </w:rPr>
        <w:t xml:space="preserve"> 模块应能够定时或定距拍摄车辆周围情况照片，并将照片上传至平台。</w:t>
      </w:r>
    </w:p>
    <w:p>
      <w:pPr>
        <w:pStyle w:val="125"/>
        <w:tabs>
          <w:tab w:val="center" w:pos="4201"/>
          <w:tab w:val="right" w:leader="dot" w:pos="9298"/>
        </w:tabs>
      </w:pPr>
      <w:r>
        <w:rPr>
          <w:rFonts w:hint="eastAsia" w:ascii="黑体" w:hAnsi="黑体" w:eastAsia="黑体"/>
        </w:rPr>
        <w:t>5.1.6.2</w:t>
      </w:r>
      <w:r>
        <w:rPr>
          <w:rFonts w:hint="eastAsia"/>
        </w:rPr>
        <w:t>该功能中的时间与距离参数应可通过终端或平台进行设置与修改。</w:t>
      </w:r>
      <w:bookmarkStart w:id="386" w:name="_Toc17642803"/>
      <w:bookmarkStart w:id="387" w:name="_Toc17643108"/>
      <w:bookmarkStart w:id="388" w:name="_Toc7109696"/>
      <w:bookmarkStart w:id="389" w:name="_Toc6161"/>
      <w:bookmarkStart w:id="390" w:name="_Toc29711_WPSOffice_Level1"/>
      <w:bookmarkStart w:id="391" w:name="_Toc17563779"/>
      <w:bookmarkStart w:id="392" w:name="_Toc17642959"/>
      <w:bookmarkStart w:id="393" w:name="_Toc6326_WPSOffice_Level1"/>
      <w:bookmarkStart w:id="394" w:name="_Toc13665047"/>
      <w:bookmarkStart w:id="395" w:name="_Toc17565882"/>
    </w:p>
    <w:p>
      <w:pPr>
        <w:pStyle w:val="64"/>
        <w:ind w:hanging="709" w:hangingChars="338"/>
      </w:pPr>
      <w:bookmarkStart w:id="396" w:name="_Toc18102102"/>
      <w:bookmarkStart w:id="397" w:name="_Toc18138067"/>
      <w:r>
        <w:rPr>
          <w:rFonts w:hint="eastAsia"/>
        </w:rPr>
        <w:t>驾驶员驾驶行为监测系统</w:t>
      </w:r>
      <w:bookmarkEnd w:id="386"/>
      <w:bookmarkEnd w:id="387"/>
      <w:bookmarkEnd w:id="388"/>
      <w:bookmarkEnd w:id="389"/>
      <w:bookmarkEnd w:id="390"/>
      <w:bookmarkEnd w:id="391"/>
      <w:bookmarkEnd w:id="392"/>
      <w:bookmarkEnd w:id="393"/>
      <w:bookmarkEnd w:id="394"/>
      <w:bookmarkEnd w:id="395"/>
      <w:bookmarkEnd w:id="396"/>
      <w:bookmarkEnd w:id="397"/>
    </w:p>
    <w:p>
      <w:pPr>
        <w:pStyle w:val="63"/>
        <w:spacing w:before="156" w:after="156"/>
      </w:pPr>
      <w:bookmarkStart w:id="398" w:name="_Toc13665048"/>
      <w:bookmarkStart w:id="399" w:name="_Toc17642804"/>
      <w:bookmarkStart w:id="400" w:name="_Toc17642960"/>
      <w:bookmarkStart w:id="401" w:name="_Toc5465"/>
      <w:bookmarkStart w:id="402" w:name="_Toc13660641"/>
      <w:bookmarkStart w:id="403" w:name="_Toc17643109"/>
      <w:r>
        <w:rPr>
          <w:rFonts w:hint="eastAsia"/>
        </w:rPr>
        <w:t>功能说明</w:t>
      </w:r>
      <w:bookmarkEnd w:id="398"/>
      <w:bookmarkEnd w:id="399"/>
      <w:bookmarkEnd w:id="400"/>
      <w:bookmarkEnd w:id="401"/>
      <w:bookmarkEnd w:id="402"/>
      <w:bookmarkEnd w:id="403"/>
    </w:p>
    <w:p>
      <w:pPr>
        <w:pStyle w:val="125"/>
      </w:pPr>
      <w:r>
        <w:rPr>
          <w:rFonts w:hint="eastAsia" w:ascii="黑体" w:hAnsi="黑体" w:eastAsia="黑体"/>
        </w:rPr>
        <w:t>5.</w:t>
      </w:r>
      <w:r>
        <w:rPr>
          <w:rFonts w:ascii="黑体" w:hAnsi="黑体" w:eastAsia="黑体"/>
        </w:rPr>
        <w:t>2</w:t>
      </w:r>
      <w:r>
        <w:rPr>
          <w:rFonts w:hint="eastAsia" w:ascii="黑体" w:hAnsi="黑体" w:eastAsia="黑体"/>
        </w:rPr>
        <w:t>.1.1</w:t>
      </w:r>
      <w:r>
        <w:rPr>
          <w:rFonts w:hint="eastAsia"/>
        </w:rPr>
        <w:t>驾驶员驾驶行为监测系统应包含疲劳驾驶报警、接打手持电话报警、长时间不目视前方报警、驾驶员不在驾驶位置报警、抽烟报警、双手同时脱离方向盘报警、设备失效报警、红外阻断型墨镜失效报警、驾驶员身份识别等功能。</w:t>
      </w:r>
    </w:p>
    <w:p>
      <w:pPr>
        <w:pStyle w:val="125"/>
        <w:tabs>
          <w:tab w:val="center" w:pos="4201"/>
          <w:tab w:val="right" w:leader="dot" w:pos="9298"/>
        </w:tabs>
      </w:pPr>
      <w:r>
        <w:rPr>
          <w:rFonts w:hint="eastAsia" w:ascii="黑体" w:hAnsi="黑体" w:eastAsia="黑体"/>
        </w:rPr>
        <w:t>5.</w:t>
      </w:r>
      <w:r>
        <w:rPr>
          <w:rFonts w:ascii="黑体" w:hAnsi="黑体" w:eastAsia="黑体"/>
        </w:rPr>
        <w:t>2</w:t>
      </w:r>
      <w:r>
        <w:rPr>
          <w:rFonts w:hint="eastAsia" w:ascii="黑体" w:hAnsi="黑体" w:eastAsia="黑体"/>
        </w:rPr>
        <w:t>.</w:t>
      </w:r>
      <w:r>
        <w:rPr>
          <w:rFonts w:ascii="黑体" w:hAnsi="黑体" w:eastAsia="黑体"/>
        </w:rPr>
        <w:t>1</w:t>
      </w:r>
      <w:r>
        <w:rPr>
          <w:rFonts w:hint="eastAsia" w:ascii="黑体" w:hAnsi="黑体" w:eastAsia="黑体"/>
        </w:rPr>
        <w:t xml:space="preserve">.2 </w:t>
      </w:r>
      <w:r>
        <w:rPr>
          <w:rFonts w:hint="eastAsia"/>
        </w:rPr>
        <w:t>D</w:t>
      </w:r>
      <w:r>
        <w:t>SM摄像机视频分辨率</w:t>
      </w:r>
      <w:r>
        <w:rPr>
          <w:rFonts w:hint="eastAsia"/>
        </w:rPr>
        <w:t>不低于</w:t>
      </w:r>
      <w:r>
        <w:t>1280*720</w:t>
      </w:r>
      <w:r>
        <w:rPr>
          <w:rFonts w:hint="eastAsia"/>
        </w:rPr>
        <w:t>；</w:t>
      </w:r>
    </w:p>
    <w:p>
      <w:pPr>
        <w:pStyle w:val="63"/>
        <w:spacing w:before="156" w:after="156"/>
      </w:pPr>
      <w:bookmarkStart w:id="404" w:name="_Toc7109697"/>
      <w:bookmarkStart w:id="405" w:name="_Toc13665049"/>
      <w:bookmarkStart w:id="406" w:name="_Toc13480"/>
      <w:bookmarkStart w:id="407" w:name="_Toc17642961"/>
      <w:bookmarkStart w:id="408" w:name="_Toc13660642"/>
      <w:bookmarkStart w:id="409" w:name="_Toc17642805"/>
      <w:bookmarkStart w:id="410" w:name="_Toc17643110"/>
      <w:r>
        <w:rPr>
          <w:rFonts w:hint="eastAsia"/>
        </w:rPr>
        <w:t>驾驶员疲劳驾驶</w:t>
      </w:r>
      <w:bookmarkEnd w:id="404"/>
      <w:r>
        <w:rPr>
          <w:rFonts w:hint="eastAsia"/>
        </w:rPr>
        <w:t>报警</w:t>
      </w:r>
      <w:bookmarkEnd w:id="405"/>
      <w:bookmarkEnd w:id="406"/>
      <w:bookmarkEnd w:id="407"/>
      <w:bookmarkEnd w:id="408"/>
      <w:bookmarkEnd w:id="409"/>
      <w:bookmarkEnd w:id="410"/>
    </w:p>
    <w:p>
      <w:pPr>
        <w:pStyle w:val="27"/>
        <w:rPr>
          <w:rFonts w:hint="eastAsia"/>
          <w:szCs w:val="22"/>
        </w:rPr>
      </w:pPr>
      <w:r>
        <w:rPr>
          <w:rFonts w:hint="eastAsia"/>
          <w:szCs w:val="22"/>
        </w:rPr>
        <w:t>在车辆行驶过程中，视频车载终端应能够通过面部监测的方式识别到驾驶员疲劳驾驶状态，对驾驶员进行报警提示，同时保存报警点驾驶员面部特征照片和视频信息，事件驱动并实现本地存储和远程存储，且具备以下功能：</w:t>
      </w:r>
    </w:p>
    <w:p>
      <w:pPr>
        <w:pStyle w:val="145"/>
        <w:numPr>
          <w:ilvl w:val="0"/>
          <w:numId w:val="26"/>
        </w:numPr>
        <w:tabs>
          <w:tab w:val="center" w:pos="4201"/>
          <w:tab w:val="right" w:leader="dot" w:pos="9298"/>
        </w:tabs>
        <w:rPr>
          <w:szCs w:val="22"/>
        </w:rPr>
      </w:pPr>
      <w:r>
        <w:rPr>
          <w:szCs w:val="22"/>
        </w:rPr>
        <w:t>能够在全部工况环境下（至少包括白天、夜晚、顺光、侧光、逆光、树荫阳光交替闪烁、车辆震动等）实现驾驶员疲劳状态的识别；</w:t>
      </w:r>
    </w:p>
    <w:p>
      <w:pPr>
        <w:pStyle w:val="145"/>
        <w:numPr>
          <w:ilvl w:val="0"/>
          <w:numId w:val="26"/>
        </w:numPr>
        <w:tabs>
          <w:tab w:val="center" w:pos="4201"/>
          <w:tab w:val="right" w:leader="dot" w:pos="9298"/>
        </w:tabs>
        <w:rPr>
          <w:szCs w:val="22"/>
        </w:rPr>
      </w:pPr>
      <w:r>
        <w:rPr>
          <w:szCs w:val="22"/>
        </w:rPr>
        <w:t>在驾驶员佩戴帽子、眼镜、墨镜（红外可穿透）、口罩等情况下正常工作；</w:t>
      </w:r>
    </w:p>
    <w:p>
      <w:pPr>
        <w:pStyle w:val="145"/>
        <w:numPr>
          <w:ilvl w:val="0"/>
          <w:numId w:val="26"/>
        </w:numPr>
        <w:tabs>
          <w:tab w:val="center" w:pos="4201"/>
          <w:tab w:val="right" w:leader="dot" w:pos="9298"/>
        </w:tabs>
        <w:rPr>
          <w:szCs w:val="22"/>
        </w:rPr>
      </w:pPr>
      <w:r>
        <w:rPr>
          <w:szCs w:val="22"/>
        </w:rPr>
        <w:t>在车辆行驶过程中，能够通过视频的方式检测到驾驶员的生理疲劳，并提供不同等级的疲劳驾驶警告；</w:t>
      </w:r>
    </w:p>
    <w:p>
      <w:pPr>
        <w:pStyle w:val="145"/>
        <w:numPr>
          <w:ilvl w:val="0"/>
          <w:numId w:val="26"/>
        </w:numPr>
        <w:tabs>
          <w:tab w:val="center" w:pos="4201"/>
          <w:tab w:val="right" w:leader="dot" w:pos="9298"/>
        </w:tabs>
        <w:rPr>
          <w:szCs w:val="22"/>
        </w:rPr>
      </w:pPr>
      <w:r>
        <w:rPr>
          <w:szCs w:val="22"/>
        </w:rPr>
        <w:t>具备设置报警分级速度阈值和</w:t>
      </w:r>
      <w:r>
        <w:rPr>
          <w:rFonts w:hint="eastAsia"/>
          <w:szCs w:val="22"/>
        </w:rPr>
        <w:t>灵敏度参数</w:t>
      </w:r>
      <w:r>
        <w:rPr>
          <w:szCs w:val="22"/>
        </w:rPr>
        <w:t>的功能；</w:t>
      </w:r>
    </w:p>
    <w:p>
      <w:pPr>
        <w:pStyle w:val="145"/>
        <w:numPr>
          <w:ilvl w:val="0"/>
          <w:numId w:val="26"/>
        </w:numPr>
        <w:tabs>
          <w:tab w:val="center" w:pos="4201"/>
          <w:tab w:val="right" w:leader="dot" w:pos="9298"/>
        </w:tabs>
        <w:rPr>
          <w:szCs w:val="22"/>
        </w:rPr>
      </w:pPr>
      <w:r>
        <w:rPr>
          <w:szCs w:val="22"/>
        </w:rPr>
        <w:t>能够</w:t>
      </w:r>
      <w:r>
        <w:rPr>
          <w:rFonts w:hint="eastAsia"/>
          <w:szCs w:val="22"/>
        </w:rPr>
        <w:t>识别驾驶员</w:t>
      </w:r>
      <w:r>
        <w:rPr>
          <w:szCs w:val="22"/>
        </w:rPr>
        <w:t>疲劳闭眼</w:t>
      </w:r>
      <w:r>
        <w:rPr>
          <w:rFonts w:hint="eastAsia"/>
          <w:szCs w:val="22"/>
        </w:rPr>
        <w:t>动作，识别</w:t>
      </w:r>
      <w:r>
        <w:rPr>
          <w:szCs w:val="22"/>
        </w:rPr>
        <w:t>准确率</w:t>
      </w:r>
      <w:r>
        <w:rPr>
          <w:rFonts w:hint="eastAsia"/>
          <w:szCs w:val="22"/>
        </w:rPr>
        <w:t>在</w:t>
      </w:r>
      <w:r>
        <w:rPr>
          <w:szCs w:val="22"/>
        </w:rPr>
        <w:t>95%</w:t>
      </w:r>
      <w:r>
        <w:rPr>
          <w:rFonts w:hint="eastAsia"/>
          <w:szCs w:val="22"/>
        </w:rPr>
        <w:t>以上</w:t>
      </w:r>
      <w:r>
        <w:rPr>
          <w:szCs w:val="22"/>
        </w:rPr>
        <w:t>；</w:t>
      </w:r>
    </w:p>
    <w:p>
      <w:pPr>
        <w:pStyle w:val="145"/>
        <w:numPr>
          <w:ilvl w:val="0"/>
          <w:numId w:val="26"/>
        </w:numPr>
        <w:tabs>
          <w:tab w:val="center" w:pos="4201"/>
          <w:tab w:val="right" w:leader="dot" w:pos="9298"/>
        </w:tabs>
        <w:rPr>
          <w:szCs w:val="22"/>
        </w:rPr>
      </w:pPr>
      <w:r>
        <w:rPr>
          <w:szCs w:val="22"/>
        </w:rPr>
        <w:t>能够</w:t>
      </w:r>
      <w:r>
        <w:rPr>
          <w:rFonts w:hint="eastAsia"/>
          <w:szCs w:val="22"/>
        </w:rPr>
        <w:t>识别驾驶员</w:t>
      </w:r>
      <w:r>
        <w:rPr>
          <w:szCs w:val="22"/>
        </w:rPr>
        <w:t>疲劳性</w:t>
      </w:r>
      <w:r>
        <w:rPr>
          <w:rFonts w:hint="eastAsia"/>
          <w:szCs w:val="22"/>
        </w:rPr>
        <w:t>眨眼动作，识别</w:t>
      </w:r>
      <w:r>
        <w:rPr>
          <w:szCs w:val="22"/>
        </w:rPr>
        <w:t>准确率</w:t>
      </w:r>
      <w:r>
        <w:rPr>
          <w:rFonts w:hint="eastAsia"/>
          <w:szCs w:val="22"/>
        </w:rPr>
        <w:t>在</w:t>
      </w:r>
      <w:r>
        <w:rPr>
          <w:szCs w:val="22"/>
        </w:rPr>
        <w:t>95%</w:t>
      </w:r>
      <w:r>
        <w:rPr>
          <w:rFonts w:hint="eastAsia"/>
          <w:szCs w:val="22"/>
        </w:rPr>
        <w:t>以上</w:t>
      </w:r>
      <w:r>
        <w:rPr>
          <w:szCs w:val="22"/>
        </w:rPr>
        <w:t>；</w:t>
      </w:r>
    </w:p>
    <w:p>
      <w:pPr>
        <w:pStyle w:val="145"/>
        <w:numPr>
          <w:ilvl w:val="0"/>
          <w:numId w:val="26"/>
        </w:numPr>
        <w:tabs>
          <w:tab w:val="center" w:pos="4201"/>
          <w:tab w:val="right" w:leader="dot" w:pos="9298"/>
        </w:tabs>
        <w:rPr>
          <w:szCs w:val="22"/>
        </w:rPr>
      </w:pPr>
      <w:r>
        <w:rPr>
          <w:szCs w:val="22"/>
        </w:rPr>
        <w:t>能够</w:t>
      </w:r>
      <w:r>
        <w:rPr>
          <w:rFonts w:hint="eastAsia"/>
          <w:szCs w:val="22"/>
        </w:rPr>
        <w:t>识别驾驶员</w:t>
      </w:r>
      <w:r>
        <w:rPr>
          <w:szCs w:val="22"/>
        </w:rPr>
        <w:t>打呵欠</w:t>
      </w:r>
      <w:r>
        <w:rPr>
          <w:rFonts w:hint="eastAsia"/>
          <w:szCs w:val="22"/>
        </w:rPr>
        <w:t>动作，识别</w:t>
      </w:r>
      <w:r>
        <w:rPr>
          <w:szCs w:val="22"/>
        </w:rPr>
        <w:t>准确率</w:t>
      </w:r>
      <w:r>
        <w:rPr>
          <w:rFonts w:hint="eastAsia"/>
          <w:szCs w:val="22"/>
        </w:rPr>
        <w:t>在</w:t>
      </w:r>
      <w:r>
        <w:rPr>
          <w:szCs w:val="22"/>
        </w:rPr>
        <w:t>95%</w:t>
      </w:r>
      <w:r>
        <w:rPr>
          <w:rFonts w:hint="eastAsia"/>
          <w:szCs w:val="22"/>
        </w:rPr>
        <w:t>以上</w:t>
      </w:r>
      <w:r>
        <w:rPr>
          <w:szCs w:val="22"/>
        </w:rPr>
        <w:t>；</w:t>
      </w:r>
    </w:p>
    <w:p>
      <w:pPr>
        <w:pStyle w:val="145"/>
        <w:numPr>
          <w:ilvl w:val="0"/>
          <w:numId w:val="26"/>
        </w:numPr>
        <w:tabs>
          <w:tab w:val="center" w:pos="4201"/>
          <w:tab w:val="right" w:leader="dot" w:pos="9298"/>
        </w:tabs>
        <w:rPr>
          <w:rFonts w:hint="eastAsia"/>
          <w:szCs w:val="22"/>
        </w:rPr>
      </w:pPr>
      <w:r>
        <w:rPr>
          <w:szCs w:val="22"/>
        </w:rPr>
        <w:t>能够</w:t>
      </w:r>
      <w:r>
        <w:rPr>
          <w:rFonts w:hint="eastAsia"/>
          <w:szCs w:val="22"/>
        </w:rPr>
        <w:t>结合</w:t>
      </w:r>
      <w:r>
        <w:rPr>
          <w:szCs w:val="22"/>
        </w:rPr>
        <w:t>疲劳闭眼</w:t>
      </w:r>
      <w:r>
        <w:rPr>
          <w:rFonts w:hint="eastAsia"/>
          <w:szCs w:val="22"/>
        </w:rPr>
        <w:t>、疲劳性眨眼和</w:t>
      </w:r>
      <w:r>
        <w:rPr>
          <w:szCs w:val="22"/>
        </w:rPr>
        <w:t>打呵欠</w:t>
      </w:r>
      <w:r>
        <w:rPr>
          <w:rFonts w:hint="eastAsia"/>
          <w:szCs w:val="22"/>
        </w:rPr>
        <w:t>动作进行综合识别</w:t>
      </w:r>
      <w:r>
        <w:rPr>
          <w:szCs w:val="22"/>
        </w:rPr>
        <w:t>，</w:t>
      </w:r>
      <w:r>
        <w:rPr>
          <w:rFonts w:hint="eastAsia"/>
          <w:szCs w:val="22"/>
        </w:rPr>
        <w:t>实现对</w:t>
      </w:r>
      <w:r>
        <w:rPr>
          <w:szCs w:val="22"/>
        </w:rPr>
        <w:t>疲劳状态</w:t>
      </w:r>
      <w:r>
        <w:rPr>
          <w:rFonts w:hint="eastAsia"/>
          <w:szCs w:val="22"/>
        </w:rPr>
        <w:t>的综合识别率在</w:t>
      </w:r>
      <w:r>
        <w:rPr>
          <w:szCs w:val="22"/>
        </w:rPr>
        <w:t>90%</w:t>
      </w:r>
      <w:r>
        <w:rPr>
          <w:rFonts w:hint="eastAsia"/>
          <w:szCs w:val="22"/>
        </w:rPr>
        <w:t>以上，识别和报警总时间延迟应</w:t>
      </w:r>
      <w:r>
        <w:rPr>
          <w:szCs w:val="22"/>
        </w:rPr>
        <w:t>小于2</w:t>
      </w:r>
      <w:r>
        <w:rPr>
          <w:rFonts w:hint="eastAsia"/>
          <w:szCs w:val="22"/>
        </w:rPr>
        <w:t>s</w:t>
      </w:r>
      <w:r>
        <w:rPr>
          <w:szCs w:val="22"/>
        </w:rPr>
        <w:t>：</w:t>
      </w:r>
    </w:p>
    <w:p>
      <w:pPr>
        <w:spacing w:line="63" w:lineRule="exact"/>
        <w:ind w:firstLine="480"/>
        <w:jc w:val="left"/>
        <w:rPr>
          <w:sz w:val="24"/>
        </w:rPr>
      </w:pPr>
    </w:p>
    <w:p>
      <w:pPr>
        <w:pStyle w:val="149"/>
        <w:tabs>
          <w:tab w:val="center" w:pos="4201"/>
          <w:tab w:val="right" w:leader="dot" w:pos="9298"/>
        </w:tabs>
        <w:rPr>
          <w:rFonts w:ascii="·ÂËÎ" w:hAnsi="·ÂËÎ" w:eastAsia="·ÂËÎ"/>
          <w:szCs w:val="22"/>
        </w:rPr>
      </w:pPr>
      <w:r>
        <w:rPr>
          <w:rFonts w:ascii="·ÂËÎ" w:hAnsi="·ÂËÎ" w:eastAsia="·ÂËÎ"/>
          <w:szCs w:val="22"/>
        </w:rPr>
        <w:t>当车速低于报警分级速度阈值时，若检测到驾驶员疲劳驾驶状态，产生一级报警，同时应对驾驶员进行一级报警提示，报警提示包含语音提示及显示提示；</w:t>
      </w:r>
    </w:p>
    <w:p>
      <w:pPr>
        <w:pStyle w:val="149"/>
        <w:tabs>
          <w:tab w:val="center" w:pos="4201"/>
          <w:tab w:val="right" w:leader="dot" w:pos="9298"/>
        </w:tabs>
        <w:rPr>
          <w:rFonts w:ascii="·ÂËÎ" w:hAnsi="·ÂËÎ" w:eastAsia="·ÂËÎ"/>
          <w:szCs w:val="22"/>
        </w:rPr>
      </w:pPr>
      <w:r>
        <w:rPr>
          <w:rFonts w:ascii="·ÂËÎ" w:hAnsi="·ÂËÎ" w:eastAsia="·ÂËÎ"/>
          <w:szCs w:val="22"/>
        </w:rPr>
        <w:t>当车速高于报警分级速度阈值时，若检测到驾驶员疲劳驾驶状态，产生二级报警，同时应对驾驶员进行二级报警提示，报警提示包含语音提示及显示提示；</w:t>
      </w:r>
    </w:p>
    <w:p>
      <w:pPr>
        <w:pStyle w:val="149"/>
        <w:tabs>
          <w:tab w:val="center" w:pos="4201"/>
          <w:tab w:val="right" w:leader="dot" w:pos="9298"/>
        </w:tabs>
        <w:rPr>
          <w:rFonts w:ascii="·ÂËÎ" w:hAnsi="·ÂËÎ" w:eastAsia="·ÂËÎ"/>
          <w:szCs w:val="22"/>
        </w:rPr>
      </w:pPr>
      <w:r>
        <w:rPr>
          <w:rFonts w:ascii="·ÂËÎ" w:hAnsi="·ÂËÎ" w:eastAsia="·ÂËÎ"/>
          <w:szCs w:val="22"/>
        </w:rPr>
        <w:t>产生报警时，终端应向平台发送报警信息，报警信息需包含报警级别。若为报警级别为二级报警，则终端还需保存报警点至少包含驾驶员面部特征的照片和视频，并上传至平台。</w:t>
      </w:r>
    </w:p>
    <w:p>
      <w:pPr>
        <w:pStyle w:val="63"/>
        <w:spacing w:before="156" w:after="156"/>
      </w:pPr>
      <w:bookmarkStart w:id="411" w:name="_Toc13665050"/>
      <w:bookmarkStart w:id="412" w:name="_Toc17643111"/>
      <w:bookmarkStart w:id="413" w:name="_Toc7109700"/>
      <w:bookmarkStart w:id="414" w:name="_Toc17642962"/>
      <w:bookmarkStart w:id="415" w:name="_Toc566"/>
      <w:bookmarkStart w:id="416" w:name="_Toc13660643"/>
      <w:bookmarkStart w:id="417" w:name="_Toc17642806"/>
      <w:bookmarkStart w:id="418" w:name="_Toc7109698"/>
      <w:r>
        <w:rPr>
          <w:rFonts w:hint="eastAsia"/>
        </w:rPr>
        <w:t>驾驶员接打手持</w:t>
      </w:r>
      <w:r>
        <w:t>电话报警</w:t>
      </w:r>
      <w:bookmarkEnd w:id="411"/>
      <w:bookmarkEnd w:id="412"/>
      <w:bookmarkEnd w:id="413"/>
      <w:bookmarkEnd w:id="414"/>
      <w:bookmarkEnd w:id="415"/>
      <w:bookmarkEnd w:id="416"/>
      <w:bookmarkEnd w:id="417"/>
    </w:p>
    <w:p>
      <w:pPr>
        <w:pStyle w:val="27"/>
      </w:pPr>
      <w:r>
        <w:rPr>
          <w:rFonts w:hint="eastAsia"/>
        </w:rPr>
        <w:t>在车辆行驶过程中，视频车载终端应能对</w:t>
      </w:r>
      <w:r>
        <w:t>驾驶员</w:t>
      </w:r>
      <w:r>
        <w:rPr>
          <w:rFonts w:hint="eastAsia"/>
        </w:rPr>
        <w:t>接打手持</w:t>
      </w:r>
      <w:r>
        <w:t>电话的行为进行识别和分析，对驾驶员违规行为进行报警提示，同时保存报警点</w:t>
      </w:r>
      <w:r>
        <w:rPr>
          <w:rFonts w:hint="eastAsia"/>
        </w:rPr>
        <w:t>驾驶员</w:t>
      </w:r>
      <w:r>
        <w:t>面部特征照片和视频信息，</w:t>
      </w:r>
      <w:r>
        <w:rPr>
          <w:rFonts w:hint="eastAsia"/>
        </w:rPr>
        <w:t>事件</w:t>
      </w:r>
      <w:r>
        <w:t>驱动并实现本地存储和</w:t>
      </w:r>
      <w:r>
        <w:rPr>
          <w:rFonts w:hint="eastAsia"/>
        </w:rPr>
        <w:t>远程</w:t>
      </w:r>
      <w:r>
        <w:t>存储，且具备以下功能：</w:t>
      </w:r>
    </w:p>
    <w:p>
      <w:pPr>
        <w:pStyle w:val="145"/>
        <w:numPr>
          <w:ilvl w:val="0"/>
          <w:numId w:val="27"/>
        </w:numPr>
        <w:tabs>
          <w:tab w:val="center" w:pos="4201"/>
          <w:tab w:val="right" w:leader="dot" w:pos="9298"/>
        </w:tabs>
        <w:rPr>
          <w:rFonts w:hint="eastAsia"/>
          <w:szCs w:val="22"/>
        </w:rPr>
      </w:pPr>
      <w:r>
        <w:rPr>
          <w:rFonts w:hint="eastAsia"/>
          <w:szCs w:val="22"/>
        </w:rPr>
        <w:t>能够在全部工况环境下（至少包括白天、夜晚、顺光、侧光、逆光、树荫阳光交替闪烁、车辆震动等）实现接打手持电话行为识别；</w:t>
      </w:r>
    </w:p>
    <w:p>
      <w:pPr>
        <w:pStyle w:val="145"/>
        <w:numPr>
          <w:ilvl w:val="0"/>
          <w:numId w:val="27"/>
        </w:numPr>
        <w:tabs>
          <w:tab w:val="center" w:pos="4201"/>
          <w:tab w:val="right" w:leader="dot" w:pos="9298"/>
        </w:tabs>
        <w:rPr>
          <w:rFonts w:hint="eastAsia"/>
          <w:szCs w:val="22"/>
        </w:rPr>
      </w:pPr>
      <w:r>
        <w:rPr>
          <w:rFonts w:hint="eastAsia"/>
          <w:szCs w:val="22"/>
        </w:rPr>
        <w:t>具备设置报警分级速度阈值和灵敏度参数的功能；</w:t>
      </w:r>
    </w:p>
    <w:p>
      <w:pPr>
        <w:pStyle w:val="145"/>
        <w:numPr>
          <w:ilvl w:val="0"/>
          <w:numId w:val="27"/>
        </w:numPr>
        <w:tabs>
          <w:tab w:val="center" w:pos="4201"/>
          <w:tab w:val="right" w:leader="dot" w:pos="9298"/>
        </w:tabs>
        <w:rPr>
          <w:rFonts w:hint="eastAsia"/>
          <w:szCs w:val="22"/>
        </w:rPr>
      </w:pPr>
      <w:r>
        <w:rPr>
          <w:rFonts w:hint="eastAsia"/>
          <w:szCs w:val="22"/>
        </w:rPr>
        <w:t>对手持电话物品识别准确率在95%以上；</w:t>
      </w:r>
    </w:p>
    <w:p>
      <w:pPr>
        <w:pStyle w:val="145"/>
        <w:numPr>
          <w:ilvl w:val="0"/>
          <w:numId w:val="27"/>
        </w:numPr>
        <w:tabs>
          <w:tab w:val="center" w:pos="4201"/>
          <w:tab w:val="right" w:leader="dot" w:pos="9298"/>
        </w:tabs>
        <w:rPr>
          <w:rFonts w:hint="eastAsia"/>
          <w:szCs w:val="22"/>
        </w:rPr>
      </w:pPr>
      <w:r>
        <w:rPr>
          <w:rFonts w:hint="eastAsia"/>
          <w:szCs w:val="22"/>
        </w:rPr>
        <w:t>对接打手持电话动作识别准确率在95%以上；</w:t>
      </w:r>
    </w:p>
    <w:p>
      <w:pPr>
        <w:pStyle w:val="145"/>
        <w:numPr>
          <w:ilvl w:val="0"/>
          <w:numId w:val="27"/>
        </w:numPr>
        <w:tabs>
          <w:tab w:val="center" w:pos="4201"/>
          <w:tab w:val="right" w:leader="dot" w:pos="9298"/>
        </w:tabs>
        <w:rPr>
          <w:rFonts w:hint="eastAsia"/>
          <w:szCs w:val="22"/>
        </w:rPr>
      </w:pPr>
      <w:r>
        <w:rPr>
          <w:rFonts w:hint="eastAsia"/>
          <w:szCs w:val="22"/>
        </w:rPr>
        <w:t>能够结合手持电话物品和接打手持电话动作进行综合识别，实现对接打手持电话行为的综合识别率在90%以上，识别和报警总时间延迟应小于2s：</w:t>
      </w:r>
    </w:p>
    <w:p>
      <w:pPr>
        <w:pStyle w:val="149"/>
        <w:rPr>
          <w:sz w:val="24"/>
        </w:rPr>
      </w:pPr>
      <w:r>
        <w:rPr>
          <w:rFonts w:hint="eastAsia"/>
        </w:rPr>
        <w:t>当车速低于报警分级速度阈值时，若检测到驾驶员接打手持</w:t>
      </w:r>
      <w:r>
        <w:t>电话</w:t>
      </w:r>
      <w:r>
        <w:rPr>
          <w:rFonts w:hint="eastAsia"/>
        </w:rPr>
        <w:t>行为，产生一级</w:t>
      </w:r>
      <w:r>
        <w:t>报警，同时</w:t>
      </w:r>
      <w:r>
        <w:rPr>
          <w:rFonts w:hint="eastAsia"/>
        </w:rPr>
        <w:t>应对驾驶员进行一级报警提示，报警提示包含语音提示及显示提示。</w:t>
      </w:r>
    </w:p>
    <w:p>
      <w:pPr>
        <w:pStyle w:val="149"/>
        <w:tabs>
          <w:tab w:val="center" w:pos="4201"/>
          <w:tab w:val="right" w:leader="dot" w:pos="9298"/>
        </w:tabs>
        <w:rPr>
          <w:sz w:val="24"/>
        </w:rPr>
      </w:pPr>
      <w:r>
        <w:rPr>
          <w:rFonts w:hint="eastAsia"/>
        </w:rPr>
        <w:t>当车速高于报警分级速度阈值时，若检测到驾驶员接打手持</w:t>
      </w:r>
      <w:r>
        <w:t>电话</w:t>
      </w:r>
      <w:r>
        <w:rPr>
          <w:rFonts w:hint="eastAsia"/>
        </w:rPr>
        <w:t>行为，产生二级</w:t>
      </w:r>
      <w:r>
        <w:t>报警，同时</w:t>
      </w:r>
      <w:r>
        <w:rPr>
          <w:rFonts w:hint="eastAsia"/>
        </w:rPr>
        <w:t>应对驾驶员进行二级报警提示，报警提示包含语音提示及显示提示。</w:t>
      </w:r>
    </w:p>
    <w:p>
      <w:pPr>
        <w:pStyle w:val="149"/>
        <w:tabs>
          <w:tab w:val="center" w:pos="4201"/>
          <w:tab w:val="right" w:leader="dot" w:pos="9298"/>
        </w:tabs>
        <w:rPr>
          <w:rFonts w:hint="eastAsia"/>
        </w:rPr>
      </w:pPr>
      <w:r>
        <w:rPr>
          <w:rFonts w:hint="eastAsia"/>
        </w:rPr>
        <w:t>产生</w:t>
      </w:r>
      <w:r>
        <w:t>报警时，终端应向平台发送报警</w:t>
      </w:r>
      <w:r>
        <w:rPr>
          <w:rFonts w:hint="eastAsia"/>
        </w:rPr>
        <w:t>信息</w:t>
      </w:r>
      <w:r>
        <w:t>，报警信息需包含报警级别。若</w:t>
      </w:r>
      <w:r>
        <w:rPr>
          <w:rFonts w:hint="eastAsia"/>
        </w:rPr>
        <w:t>报警</w:t>
      </w:r>
      <w:r>
        <w:t>级别为二级报警，则终端还需保存报警点至少包含驾驶员面部特征的照片和视频，并上传</w:t>
      </w:r>
      <w:r>
        <w:rPr>
          <w:rFonts w:hint="eastAsia"/>
        </w:rPr>
        <w:t>至</w:t>
      </w:r>
      <w:r>
        <w:t>平台</w:t>
      </w:r>
      <w:r>
        <w:rPr>
          <w:rFonts w:hint="eastAsia"/>
        </w:rPr>
        <w:t>。</w:t>
      </w:r>
    </w:p>
    <w:p>
      <w:pPr>
        <w:pStyle w:val="63"/>
        <w:spacing w:before="156" w:after="156"/>
      </w:pPr>
      <w:bookmarkStart w:id="419" w:name="_Toc17642963"/>
      <w:bookmarkStart w:id="420" w:name="_Toc13660644"/>
      <w:bookmarkStart w:id="421" w:name="_Toc1104"/>
      <w:bookmarkStart w:id="422" w:name="_Toc17643112"/>
      <w:bookmarkStart w:id="423" w:name="_Toc13665051"/>
      <w:bookmarkStart w:id="424" w:name="_Toc17642807"/>
      <w:r>
        <w:rPr>
          <w:rFonts w:hint="eastAsia"/>
        </w:rPr>
        <w:t>驾驶员长时间不目视前方</w:t>
      </w:r>
      <w:bookmarkEnd w:id="418"/>
      <w:r>
        <w:rPr>
          <w:rFonts w:hint="eastAsia"/>
        </w:rPr>
        <w:t>报警</w:t>
      </w:r>
      <w:bookmarkEnd w:id="419"/>
      <w:bookmarkEnd w:id="420"/>
      <w:bookmarkEnd w:id="421"/>
      <w:bookmarkEnd w:id="422"/>
      <w:bookmarkEnd w:id="423"/>
      <w:bookmarkEnd w:id="424"/>
    </w:p>
    <w:p>
      <w:pPr>
        <w:pStyle w:val="27"/>
      </w:pPr>
      <w:r>
        <w:rPr>
          <w:rFonts w:hint="eastAsia"/>
        </w:rPr>
        <w:t>在车辆行驶过程中，视频车载终端应能对</w:t>
      </w:r>
      <w:r>
        <w:t>驾驶员</w:t>
      </w:r>
      <w:r>
        <w:rPr>
          <w:rFonts w:hint="eastAsia"/>
        </w:rPr>
        <w:t>长时间不目视</w:t>
      </w:r>
      <w:r>
        <w:t>前方的情况进行识别和分析，对驾驶员</w:t>
      </w:r>
      <w:r>
        <w:rPr>
          <w:rFonts w:hint="eastAsia"/>
        </w:rPr>
        <w:t>异常情况</w:t>
      </w:r>
      <w:r>
        <w:t>进行报警提示，同时保存报警点</w:t>
      </w:r>
      <w:r>
        <w:rPr>
          <w:rFonts w:hint="eastAsia"/>
        </w:rPr>
        <w:t>驾驶员</w:t>
      </w:r>
      <w:r>
        <w:t>面部特征照片和视频信息，</w:t>
      </w:r>
      <w:r>
        <w:rPr>
          <w:rFonts w:hint="eastAsia"/>
        </w:rPr>
        <w:t>事件</w:t>
      </w:r>
      <w:r>
        <w:t>驱动并实现本地存储和</w:t>
      </w:r>
      <w:r>
        <w:rPr>
          <w:rFonts w:hint="eastAsia"/>
        </w:rPr>
        <w:t>远程</w:t>
      </w:r>
      <w:r>
        <w:t>存储，且具备以下功能：</w:t>
      </w:r>
    </w:p>
    <w:p>
      <w:pPr>
        <w:pStyle w:val="145"/>
        <w:numPr>
          <w:ilvl w:val="0"/>
          <w:numId w:val="28"/>
        </w:numPr>
        <w:tabs>
          <w:tab w:val="center" w:pos="4201"/>
          <w:tab w:val="right" w:leader="dot" w:pos="9298"/>
        </w:tabs>
        <w:rPr>
          <w:rFonts w:hint="eastAsia"/>
          <w:szCs w:val="22"/>
        </w:rPr>
      </w:pPr>
      <w:r>
        <w:rPr>
          <w:rFonts w:hint="eastAsia"/>
          <w:szCs w:val="22"/>
        </w:rPr>
        <w:t>能够在全部工况环境下（至少包括白天、夜晚、顺光、侧光、逆光、树荫阳光交替闪烁、车辆震动等），根据设定的脸部左右和上下角度阈值，实现对驾驶员不目视前方的识别；</w:t>
      </w:r>
    </w:p>
    <w:p>
      <w:pPr>
        <w:pStyle w:val="145"/>
        <w:numPr>
          <w:ilvl w:val="0"/>
          <w:numId w:val="28"/>
        </w:numPr>
        <w:tabs>
          <w:tab w:val="center" w:pos="4201"/>
          <w:tab w:val="right" w:leader="dot" w:pos="9298"/>
        </w:tabs>
        <w:rPr>
          <w:rFonts w:hint="eastAsia"/>
          <w:szCs w:val="22"/>
        </w:rPr>
      </w:pPr>
      <w:r>
        <w:rPr>
          <w:rFonts w:hint="eastAsia"/>
          <w:szCs w:val="22"/>
        </w:rPr>
        <w:t>可在驾驶员佩戴帽子、眼镜、墨镜（红外可穿透）、口罩等情况下正常工作；</w:t>
      </w:r>
    </w:p>
    <w:p>
      <w:pPr>
        <w:pStyle w:val="145"/>
        <w:numPr>
          <w:ilvl w:val="0"/>
          <w:numId w:val="28"/>
        </w:numPr>
        <w:tabs>
          <w:tab w:val="center" w:pos="4201"/>
          <w:tab w:val="right" w:leader="dot" w:pos="9298"/>
        </w:tabs>
        <w:rPr>
          <w:rFonts w:hint="eastAsia"/>
          <w:szCs w:val="22"/>
        </w:rPr>
      </w:pPr>
      <w:r>
        <w:rPr>
          <w:rFonts w:hint="eastAsia"/>
          <w:szCs w:val="22"/>
        </w:rPr>
        <w:t xml:space="preserve">能够区分车辆转向、倒车、驾驶员观察后视镜等情况下不目视前方状态，并可根据实际要求，确定不目视前方报警提示阈值； </w:t>
      </w:r>
    </w:p>
    <w:p>
      <w:pPr>
        <w:pStyle w:val="145"/>
        <w:numPr>
          <w:ilvl w:val="0"/>
          <w:numId w:val="28"/>
        </w:numPr>
        <w:tabs>
          <w:tab w:val="center" w:pos="4201"/>
          <w:tab w:val="right" w:leader="dot" w:pos="9298"/>
        </w:tabs>
        <w:rPr>
          <w:rFonts w:hint="eastAsia"/>
          <w:szCs w:val="22"/>
        </w:rPr>
      </w:pPr>
      <w:r>
        <w:rPr>
          <w:rFonts w:hint="eastAsia"/>
          <w:szCs w:val="22"/>
        </w:rPr>
        <w:t>具备设置报警分级速度阈值和灵敏度参数的功能；</w:t>
      </w:r>
    </w:p>
    <w:p>
      <w:pPr>
        <w:pStyle w:val="145"/>
        <w:numPr>
          <w:ilvl w:val="0"/>
          <w:numId w:val="28"/>
        </w:numPr>
        <w:tabs>
          <w:tab w:val="center" w:pos="4201"/>
          <w:tab w:val="right" w:leader="dot" w:pos="9298"/>
        </w:tabs>
        <w:rPr>
          <w:rFonts w:hint="eastAsia"/>
          <w:szCs w:val="22"/>
        </w:rPr>
      </w:pPr>
      <w:r>
        <w:rPr>
          <w:rFonts w:hint="eastAsia"/>
          <w:szCs w:val="22"/>
        </w:rPr>
        <w:t>不目视前方行为检测准确率应在90%以上，识别和报警总时间延迟小于1s：</w:t>
      </w:r>
    </w:p>
    <w:p>
      <w:pPr>
        <w:spacing w:line="62" w:lineRule="exact"/>
        <w:ind w:firstLine="480"/>
        <w:jc w:val="left"/>
        <w:rPr>
          <w:sz w:val="24"/>
        </w:rPr>
      </w:pPr>
    </w:p>
    <w:p>
      <w:pPr>
        <w:pStyle w:val="149"/>
        <w:tabs>
          <w:tab w:val="center" w:pos="4201"/>
          <w:tab w:val="right" w:leader="dot" w:pos="9298"/>
        </w:tabs>
        <w:rPr>
          <w:rFonts w:hint="eastAsia"/>
          <w:sz w:val="24"/>
        </w:rPr>
      </w:pPr>
      <w:bookmarkStart w:id="425" w:name="page9"/>
      <w:bookmarkEnd w:id="425"/>
      <w:r>
        <w:rPr>
          <w:rFonts w:hint="eastAsia"/>
        </w:rPr>
        <w:t>当车速低于报警分级速度阈值时，若检测到驾驶员不目视前方行为，产生一级</w:t>
      </w:r>
      <w:r>
        <w:t>报警，同时</w:t>
      </w:r>
      <w:r>
        <w:rPr>
          <w:rFonts w:hint="eastAsia"/>
        </w:rPr>
        <w:t>应对驾驶员进行一级报警提示，报警提示包含语音提示及显示提示。</w:t>
      </w:r>
    </w:p>
    <w:p>
      <w:pPr>
        <w:pStyle w:val="149"/>
        <w:tabs>
          <w:tab w:val="center" w:pos="4201"/>
          <w:tab w:val="right" w:leader="dot" w:pos="9298"/>
        </w:tabs>
        <w:rPr>
          <w:sz w:val="24"/>
        </w:rPr>
      </w:pPr>
      <w:r>
        <w:rPr>
          <w:rFonts w:hint="eastAsia"/>
        </w:rPr>
        <w:t>当车速高于报警分级速度阈值时，若检测到驾驶员不目视前方行为，产生二级</w:t>
      </w:r>
      <w:r>
        <w:t>报警，同时</w:t>
      </w:r>
      <w:r>
        <w:rPr>
          <w:rFonts w:hint="eastAsia"/>
        </w:rPr>
        <w:t>应对驾驶员进行二级报警提示，报警提示包含语音提示及显示提示。</w:t>
      </w:r>
    </w:p>
    <w:p>
      <w:pPr>
        <w:pStyle w:val="149"/>
        <w:tabs>
          <w:tab w:val="center" w:pos="4201"/>
          <w:tab w:val="right" w:leader="dot" w:pos="9298"/>
        </w:tabs>
      </w:pPr>
      <w:r>
        <w:rPr>
          <w:rFonts w:hint="eastAsia"/>
        </w:rPr>
        <w:t>产生</w:t>
      </w:r>
      <w:r>
        <w:t>报警时，终端应向平台发送报警</w:t>
      </w:r>
      <w:r>
        <w:rPr>
          <w:rFonts w:hint="eastAsia"/>
        </w:rPr>
        <w:t>信息</w:t>
      </w:r>
      <w:r>
        <w:t>，报警信息需包含报警级别。若</w:t>
      </w:r>
      <w:r>
        <w:rPr>
          <w:rFonts w:hint="eastAsia"/>
        </w:rPr>
        <w:t>为报警</w:t>
      </w:r>
      <w:r>
        <w:t>级别为二级报警，则终端还需保存报警点至少包含驾驶员面部特征的照片和视频，并上传</w:t>
      </w:r>
      <w:r>
        <w:rPr>
          <w:rFonts w:hint="eastAsia"/>
        </w:rPr>
        <w:t>至</w:t>
      </w:r>
      <w:r>
        <w:t>平台</w:t>
      </w:r>
      <w:r>
        <w:rPr>
          <w:rFonts w:hint="eastAsia"/>
        </w:rPr>
        <w:t>。</w:t>
      </w:r>
      <w:r>
        <w:pict>
          <v:line id="直接连接符 4" o:spid="_x0000_s1045" o:spt="20" style="position:absolute;left:0pt;margin-left:88.55pt;margin-top:54.95pt;height:0pt;width:418.2pt;mso-position-horizontal-relative:page;mso-position-vertical-relative:page;z-index:-102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">
            <v:path arrowok="t"/>
            <v:fill focussize="0,0"/>
            <v:stroke weight="0.71992125984252pt"/>
            <v:imagedata o:title=""/>
            <o:lock v:ext="edit"/>
          </v:line>
        </w:pict>
      </w:r>
    </w:p>
    <w:p>
      <w:pPr>
        <w:pStyle w:val="63"/>
        <w:spacing w:before="156" w:after="156"/>
      </w:pPr>
      <w:bookmarkStart w:id="426" w:name="_Toc13863"/>
      <w:bookmarkStart w:id="427" w:name="_Toc7109701"/>
      <w:bookmarkStart w:id="428" w:name="_Toc13665052"/>
      <w:bookmarkStart w:id="429" w:name="_Toc17643113"/>
      <w:bookmarkStart w:id="430" w:name="_Toc17642964"/>
      <w:bookmarkStart w:id="431" w:name="_Toc17642808"/>
      <w:bookmarkStart w:id="432" w:name="_Toc13660645"/>
      <w:bookmarkStart w:id="433" w:name="_Toc7109699"/>
      <w:r>
        <w:rPr>
          <w:rFonts w:hint="eastAsia"/>
        </w:rPr>
        <w:t>驾驶员不在</w:t>
      </w:r>
      <w:r>
        <w:t>驾驶位置报警</w:t>
      </w:r>
      <w:bookmarkEnd w:id="426"/>
      <w:bookmarkEnd w:id="427"/>
      <w:bookmarkEnd w:id="428"/>
      <w:bookmarkEnd w:id="429"/>
      <w:bookmarkEnd w:id="430"/>
      <w:bookmarkEnd w:id="431"/>
      <w:bookmarkEnd w:id="432"/>
    </w:p>
    <w:p>
      <w:pPr>
        <w:pStyle w:val="27"/>
      </w:pPr>
      <w:r>
        <w:rPr>
          <w:rFonts w:hint="eastAsia"/>
        </w:rPr>
        <w:tab/>
      </w:r>
      <w:r>
        <w:rPr>
          <w:rFonts w:hint="eastAsia"/>
        </w:rPr>
        <w:t>在车辆行驶过程中，视频车载终端应能对</w:t>
      </w:r>
      <w:r>
        <w:t>驾驶员</w:t>
      </w:r>
      <w:r>
        <w:rPr>
          <w:rFonts w:hint="eastAsia"/>
        </w:rPr>
        <w:t>不在驾驶</w:t>
      </w:r>
      <w:r>
        <w:t>位置</w:t>
      </w:r>
      <w:r>
        <w:rPr>
          <w:rFonts w:hint="eastAsia"/>
        </w:rPr>
        <w:t>的</w:t>
      </w:r>
      <w:r>
        <w:t>情况进行识别和分析，对驾驶员</w:t>
      </w:r>
      <w:r>
        <w:rPr>
          <w:rFonts w:hint="eastAsia"/>
        </w:rPr>
        <w:t>的异常</w:t>
      </w:r>
      <w:r>
        <w:t>情况进行报警提示，同时保存报警</w:t>
      </w:r>
      <w:r>
        <w:rPr>
          <w:rFonts w:hint="eastAsia"/>
        </w:rPr>
        <w:t>点的</w:t>
      </w:r>
      <w:r>
        <w:t>照片和视频信息，</w:t>
      </w:r>
      <w:r>
        <w:rPr>
          <w:rFonts w:hint="eastAsia"/>
        </w:rPr>
        <w:t>事件</w:t>
      </w:r>
      <w:r>
        <w:t>驱动并实现本地存储和</w:t>
      </w:r>
      <w:r>
        <w:rPr>
          <w:rFonts w:hint="eastAsia"/>
        </w:rPr>
        <w:t>远程</w:t>
      </w:r>
      <w:r>
        <w:t>存储</w:t>
      </w:r>
      <w:r>
        <w:rPr>
          <w:rFonts w:hint="eastAsia"/>
        </w:rPr>
        <w:t>；</w:t>
      </w:r>
      <w:r>
        <w:t>且同时保存报警点至少包含</w:t>
      </w:r>
      <w:r>
        <w:rPr>
          <w:rFonts w:hint="eastAsia"/>
        </w:rPr>
        <w:t>JT/T 1076中</w:t>
      </w:r>
      <w:r>
        <w:t>所规定</w:t>
      </w:r>
      <w:r>
        <w:rPr>
          <w:rFonts w:hint="eastAsia"/>
        </w:rPr>
        <w:t>音视频</w:t>
      </w:r>
      <w:r>
        <w:t>通道</w:t>
      </w:r>
      <w:r>
        <w:rPr>
          <w:rFonts w:hint="eastAsia"/>
        </w:rPr>
        <w:t>2的</w:t>
      </w:r>
      <w:r>
        <w:t>照片和视频，</w:t>
      </w:r>
      <w:r>
        <w:rPr>
          <w:rFonts w:hint="eastAsia"/>
        </w:rPr>
        <w:t>并向平台发送驾驶异常报警，该报警默认为二级报警，报警信息需包含报警级别，同时需</w:t>
      </w:r>
      <w:r>
        <w:t>具备以下功能</w:t>
      </w:r>
      <w:r>
        <w:rPr>
          <w:rFonts w:hint="eastAsia"/>
        </w:rPr>
        <w:t>：</w:t>
      </w:r>
      <w:r>
        <w:t>：</w:t>
      </w:r>
    </w:p>
    <w:p>
      <w:pPr>
        <w:pStyle w:val="145"/>
        <w:numPr>
          <w:ilvl w:val="0"/>
          <w:numId w:val="29"/>
        </w:numPr>
        <w:tabs>
          <w:tab w:val="center" w:pos="4201"/>
          <w:tab w:val="right" w:leader="dot" w:pos="9298"/>
        </w:tabs>
        <w:rPr>
          <w:rFonts w:hint="eastAsia"/>
          <w:szCs w:val="22"/>
        </w:rPr>
      </w:pPr>
      <w:r>
        <w:rPr>
          <w:rFonts w:hint="eastAsia"/>
          <w:szCs w:val="22"/>
        </w:rPr>
        <w:t>能够在全部工况环境下（至少包括白天、夜晚、顺光、侧光、逆光、树荫阳光交替闪烁、车辆震动等）实现对驾驶员不在驾驶位置的情形进行识别；</w:t>
      </w:r>
    </w:p>
    <w:p>
      <w:pPr>
        <w:pStyle w:val="145"/>
        <w:numPr>
          <w:ilvl w:val="0"/>
          <w:numId w:val="29"/>
        </w:numPr>
        <w:tabs>
          <w:tab w:val="center" w:pos="4201"/>
          <w:tab w:val="right" w:leader="dot" w:pos="9298"/>
        </w:tabs>
        <w:rPr>
          <w:rFonts w:hint="eastAsia"/>
          <w:szCs w:val="22"/>
        </w:rPr>
      </w:pPr>
      <w:r>
        <w:rPr>
          <w:rFonts w:hint="eastAsia"/>
          <w:szCs w:val="22"/>
        </w:rPr>
        <w:t>具备设置报警分级速度阈值和灵敏度参数的功能；</w:t>
      </w:r>
    </w:p>
    <w:p>
      <w:pPr>
        <w:pStyle w:val="145"/>
        <w:numPr>
          <w:ilvl w:val="0"/>
          <w:numId w:val="29"/>
        </w:numPr>
        <w:tabs>
          <w:tab w:val="center" w:pos="4201"/>
          <w:tab w:val="right" w:leader="dot" w:pos="9298"/>
        </w:tabs>
        <w:rPr>
          <w:rFonts w:hint="eastAsia"/>
          <w:szCs w:val="22"/>
        </w:rPr>
      </w:pPr>
      <w:r>
        <w:rPr>
          <w:rFonts w:hint="eastAsia"/>
          <w:szCs w:val="22"/>
        </w:rPr>
        <w:t>对驾驶员不在驾驶位置的识别准确率在95%以上，识别和报警总时间延迟应小于2s。</w:t>
      </w:r>
    </w:p>
    <w:p>
      <w:pPr>
        <w:pStyle w:val="63"/>
        <w:spacing w:before="156" w:after="156"/>
      </w:pPr>
      <w:bookmarkStart w:id="434" w:name="_Toc13665053"/>
      <w:bookmarkStart w:id="435" w:name="_Toc13660646"/>
      <w:bookmarkStart w:id="436" w:name="_Toc17642965"/>
      <w:bookmarkStart w:id="437" w:name="_Toc17642809"/>
      <w:bookmarkStart w:id="438" w:name="_Toc17643114"/>
      <w:bookmarkStart w:id="439" w:name="_Toc20191"/>
      <w:r>
        <w:rPr>
          <w:rFonts w:hint="eastAsia"/>
        </w:rPr>
        <w:t>驾驶员抽烟报警</w:t>
      </w:r>
      <w:bookmarkEnd w:id="433"/>
      <w:bookmarkEnd w:id="434"/>
      <w:bookmarkEnd w:id="435"/>
      <w:bookmarkEnd w:id="436"/>
      <w:bookmarkEnd w:id="437"/>
      <w:bookmarkEnd w:id="438"/>
      <w:bookmarkEnd w:id="439"/>
    </w:p>
    <w:p>
      <w:pPr>
        <w:pStyle w:val="27"/>
      </w:pPr>
      <w:r>
        <w:rPr>
          <w:rFonts w:hint="eastAsia"/>
        </w:rPr>
        <w:t>在车辆行驶过程中，视频车载终端应能对</w:t>
      </w:r>
      <w:r>
        <w:t>驾驶员</w:t>
      </w:r>
      <w:r>
        <w:rPr>
          <w:rFonts w:hint="eastAsia"/>
        </w:rPr>
        <w:t>抽烟</w:t>
      </w:r>
      <w:r>
        <w:t>的行为进行识别和分析，对驾驶员违规行为进行报警提示，同时保存报警点</w:t>
      </w:r>
      <w:r>
        <w:rPr>
          <w:rFonts w:hint="eastAsia"/>
        </w:rPr>
        <w:t>驾驶员</w:t>
      </w:r>
      <w:r>
        <w:t>面部特征照片和视频信息，</w:t>
      </w:r>
      <w:r>
        <w:rPr>
          <w:rFonts w:hint="eastAsia"/>
        </w:rPr>
        <w:t>事件</w:t>
      </w:r>
      <w:r>
        <w:t>驱动并实现本地存储和</w:t>
      </w:r>
      <w:r>
        <w:rPr>
          <w:rFonts w:hint="eastAsia"/>
        </w:rPr>
        <w:t>远程</w:t>
      </w:r>
      <w:r>
        <w:t>存储，且具备以下功能：</w:t>
      </w:r>
    </w:p>
    <w:p>
      <w:pPr>
        <w:pStyle w:val="145"/>
        <w:numPr>
          <w:ilvl w:val="0"/>
          <w:numId w:val="30"/>
        </w:numPr>
        <w:tabs>
          <w:tab w:val="center" w:pos="4201"/>
          <w:tab w:val="right" w:leader="dot" w:pos="9298"/>
        </w:tabs>
        <w:rPr>
          <w:rFonts w:hint="eastAsia"/>
          <w:szCs w:val="22"/>
        </w:rPr>
      </w:pPr>
      <w:r>
        <w:rPr>
          <w:rFonts w:hint="eastAsia"/>
          <w:szCs w:val="22"/>
        </w:rPr>
        <w:t>能够在全部工况环境下（至少包括白天、夜晚、顺光、侧光、逆光、树荫阳光交替闪烁、车辆震动等）实现抽烟行为识别；</w:t>
      </w:r>
    </w:p>
    <w:p>
      <w:pPr>
        <w:pStyle w:val="145"/>
        <w:numPr>
          <w:ilvl w:val="0"/>
          <w:numId w:val="30"/>
        </w:numPr>
        <w:tabs>
          <w:tab w:val="center" w:pos="4201"/>
          <w:tab w:val="right" w:leader="dot" w:pos="9298"/>
        </w:tabs>
        <w:rPr>
          <w:rFonts w:hint="eastAsia"/>
          <w:szCs w:val="22"/>
        </w:rPr>
      </w:pPr>
      <w:r>
        <w:rPr>
          <w:rFonts w:hint="eastAsia"/>
          <w:szCs w:val="22"/>
        </w:rPr>
        <w:t>具备设置报警分级速度阈值和灵敏度参数的功能：</w:t>
      </w:r>
    </w:p>
    <w:p>
      <w:pPr>
        <w:pStyle w:val="145"/>
        <w:numPr>
          <w:ilvl w:val="0"/>
          <w:numId w:val="30"/>
        </w:numPr>
        <w:tabs>
          <w:tab w:val="center" w:pos="4201"/>
          <w:tab w:val="right" w:leader="dot" w:pos="9298"/>
        </w:tabs>
        <w:rPr>
          <w:rFonts w:hint="eastAsia"/>
          <w:szCs w:val="22"/>
        </w:rPr>
      </w:pPr>
      <w:r>
        <w:rPr>
          <w:rFonts w:hint="eastAsia"/>
          <w:szCs w:val="22"/>
        </w:rPr>
        <w:t>对香烟物品识别准确率在95%以上；</w:t>
      </w:r>
    </w:p>
    <w:p>
      <w:pPr>
        <w:pStyle w:val="145"/>
        <w:numPr>
          <w:ilvl w:val="0"/>
          <w:numId w:val="30"/>
        </w:numPr>
        <w:tabs>
          <w:tab w:val="center" w:pos="4201"/>
          <w:tab w:val="right" w:leader="dot" w:pos="9298"/>
        </w:tabs>
        <w:rPr>
          <w:rFonts w:hint="eastAsia"/>
          <w:szCs w:val="22"/>
        </w:rPr>
      </w:pPr>
      <w:r>
        <w:rPr>
          <w:rFonts w:hint="eastAsia"/>
          <w:szCs w:val="22"/>
        </w:rPr>
        <w:t>对抽烟动作识别准确率在95%以上；</w:t>
      </w:r>
    </w:p>
    <w:p>
      <w:pPr>
        <w:pStyle w:val="145"/>
        <w:numPr>
          <w:ilvl w:val="0"/>
          <w:numId w:val="30"/>
        </w:numPr>
        <w:tabs>
          <w:tab w:val="center" w:pos="4201"/>
          <w:tab w:val="right" w:leader="dot" w:pos="9298"/>
        </w:tabs>
        <w:rPr>
          <w:rFonts w:hint="eastAsia"/>
          <w:szCs w:val="22"/>
        </w:rPr>
      </w:pPr>
      <w:r>
        <w:rPr>
          <w:rFonts w:hint="eastAsia"/>
          <w:szCs w:val="22"/>
        </w:rPr>
        <w:t>能够结合香烟物品和抽烟动作进行综合识别，实现对抽烟行为的综合识别率在90%以上，识别和报警总时间延迟应小于2s。</w:t>
      </w:r>
    </w:p>
    <w:p>
      <w:pPr>
        <w:pStyle w:val="149"/>
        <w:tabs>
          <w:tab w:val="center" w:pos="4201"/>
          <w:tab w:val="right" w:leader="dot" w:pos="9298"/>
        </w:tabs>
        <w:rPr>
          <w:rFonts w:eastAsia="Calibri"/>
          <w:szCs w:val="22"/>
        </w:rPr>
      </w:pPr>
      <w:r>
        <w:rPr>
          <w:rFonts w:eastAsia="Calibri"/>
          <w:szCs w:val="22"/>
        </w:rPr>
        <w:t>当车速低于报警分级速度阈值时，若检测到驾驶员抽烟行为，产生一级报警，同时应对驾驶员进行一级报警提示，报警提示包含语音提示及显示提示。</w:t>
      </w:r>
    </w:p>
    <w:p>
      <w:pPr>
        <w:pStyle w:val="149"/>
        <w:tabs>
          <w:tab w:val="center" w:pos="4201"/>
          <w:tab w:val="right" w:leader="dot" w:pos="9298"/>
        </w:tabs>
        <w:rPr>
          <w:rFonts w:eastAsia="Calibri"/>
          <w:szCs w:val="22"/>
        </w:rPr>
      </w:pPr>
      <w:r>
        <w:rPr>
          <w:rFonts w:eastAsia="Calibri"/>
          <w:szCs w:val="22"/>
        </w:rPr>
        <w:t>当车速高于报警分级速度阈值时，若检测到驾驶员抽烟行为，产生二级报警，同时应对驾驶员进行二级报警提示，报警提示包含语音提示及显示提示。</w:t>
      </w:r>
    </w:p>
    <w:p>
      <w:pPr>
        <w:pStyle w:val="149"/>
        <w:tabs>
          <w:tab w:val="center" w:pos="4201"/>
          <w:tab w:val="right" w:leader="dot" w:pos="9298"/>
        </w:tabs>
        <w:rPr>
          <w:rFonts w:eastAsia="Calibri"/>
          <w:szCs w:val="22"/>
        </w:rPr>
      </w:pPr>
      <w:r>
        <w:rPr>
          <w:rFonts w:eastAsia="Calibri"/>
          <w:szCs w:val="22"/>
        </w:rPr>
        <w:t>产生报警时，终端应向平台发送报警信息，报警信息需包含报警级别。若为报警级别为二级报警，则终端还需保存报警点至少包含驾驶员面部特征的照片和视频，并上传至平台。</w:t>
      </w:r>
    </w:p>
    <w:p>
      <w:pPr>
        <w:pStyle w:val="63"/>
        <w:spacing w:before="156" w:after="156"/>
      </w:pPr>
      <w:bookmarkStart w:id="440" w:name="_Toc7109703"/>
      <w:bookmarkStart w:id="441" w:name="_Toc17642966"/>
      <w:bookmarkStart w:id="442" w:name="_Toc13660648"/>
      <w:bookmarkStart w:id="443" w:name="_Toc17643115"/>
      <w:bookmarkStart w:id="444" w:name="_Toc13806"/>
      <w:bookmarkStart w:id="445" w:name="_Toc17642810"/>
      <w:bookmarkStart w:id="446" w:name="_Toc13665055"/>
      <w:r>
        <w:rPr>
          <w:rFonts w:hint="eastAsia"/>
        </w:rPr>
        <w:t>设备失效</w:t>
      </w:r>
      <w:bookmarkEnd w:id="440"/>
      <w:r>
        <w:rPr>
          <w:rFonts w:hint="eastAsia"/>
        </w:rPr>
        <w:t>报警</w:t>
      </w:r>
      <w:bookmarkEnd w:id="441"/>
      <w:bookmarkEnd w:id="442"/>
      <w:bookmarkEnd w:id="443"/>
      <w:bookmarkEnd w:id="444"/>
      <w:bookmarkEnd w:id="445"/>
      <w:bookmarkEnd w:id="446"/>
    </w:p>
    <w:p>
      <w:pPr>
        <w:pStyle w:val="27"/>
      </w:pPr>
      <w:r>
        <w:rPr>
          <w:rFonts w:hint="eastAsia"/>
        </w:rPr>
        <w:t>在车辆行驶过程中，视频车载终端应能够通过视频图像检测的方式识别到当前</w:t>
      </w:r>
      <w:r>
        <w:t>设备摄像头被遮挡或者</w:t>
      </w:r>
      <w:r>
        <w:rPr>
          <w:rFonts w:hint="eastAsia"/>
        </w:rPr>
        <w:t>驾驶员佩戴深色不透光墨镜，诊断车载终端设备无法正常识别到驾驶员或者驾驶员的眼部信息后，提醒驾驶员设备报警失效，同时保存报警点驾驶员面部特征照片和视频信息，事件驱动并实现本地存储和远程存储，且具备以下功能：</w:t>
      </w:r>
    </w:p>
    <w:p>
      <w:pPr>
        <w:pStyle w:val="62"/>
        <w:spacing w:before="156" w:after="156"/>
        <w:rPr>
          <w:rFonts w:hint="eastAsia"/>
        </w:rPr>
      </w:pPr>
      <w:bookmarkStart w:id="447" w:name="_Toc17642967"/>
      <w:bookmarkStart w:id="448" w:name="_Toc17642811"/>
      <w:r>
        <w:rPr>
          <w:rFonts w:hint="eastAsia"/>
        </w:rPr>
        <w:t>5.</w:t>
      </w:r>
      <w:r>
        <w:t>2</w:t>
      </w:r>
      <w:r>
        <w:rPr>
          <w:rFonts w:hint="eastAsia"/>
        </w:rPr>
        <w:t>.</w:t>
      </w:r>
      <w:r>
        <w:t>7</w:t>
      </w:r>
      <w:r>
        <w:rPr>
          <w:rFonts w:hint="eastAsia"/>
        </w:rPr>
        <w:t>.1设备遮挡失效提醒</w:t>
      </w:r>
      <w:bookmarkEnd w:id="447"/>
      <w:bookmarkEnd w:id="448"/>
    </w:p>
    <w:p>
      <w:pPr>
        <w:pStyle w:val="27"/>
        <w:rPr>
          <w:rFonts w:hint="eastAsia"/>
          <w:szCs w:val="22"/>
        </w:rPr>
      </w:pPr>
      <w:r>
        <w:rPr>
          <w:rFonts w:hint="eastAsia"/>
          <w:szCs w:val="22"/>
        </w:rPr>
        <w:t>在车辆行驶过程中，视频车载终端应能对驾驶员使用不透光材料遮盖摄像头的情况进行识别和分析，对驾驶员的异常情况进行报警提示，同时保存报警点驾驶员面部特征照片和视频信息，事件驱动并实现本地存储和远程存储；且同时保存报警点至少包含JT/T 1076中所规定音视频通道2的照片和视频，并向平台发送驾驶异常报警，该报警默认为二级报警，报警信息需包含报警级别，同时需具备以下功能：</w:t>
      </w:r>
    </w:p>
    <w:p>
      <w:pPr>
        <w:pStyle w:val="145"/>
        <w:numPr>
          <w:ilvl w:val="0"/>
          <w:numId w:val="31"/>
        </w:numPr>
        <w:tabs>
          <w:tab w:val="center" w:pos="4201"/>
          <w:tab w:val="right" w:leader="dot" w:pos="9298"/>
        </w:tabs>
        <w:rPr>
          <w:rFonts w:hint="eastAsia"/>
          <w:szCs w:val="22"/>
        </w:rPr>
      </w:pPr>
      <w:r>
        <w:rPr>
          <w:rFonts w:hint="eastAsia"/>
          <w:szCs w:val="22"/>
        </w:rPr>
        <w:t>能够在全部工况环境下（至少包括白天、夜晚、顺光、侧光、逆光、树荫阳光交替闪烁、车辆震动等）实现对驾驶员遮挡DSM/ADAS摄像头的情形进行识别；</w:t>
      </w:r>
    </w:p>
    <w:p>
      <w:pPr>
        <w:pStyle w:val="145"/>
        <w:numPr>
          <w:ilvl w:val="0"/>
          <w:numId w:val="31"/>
        </w:numPr>
        <w:tabs>
          <w:tab w:val="center" w:pos="4201"/>
          <w:tab w:val="right" w:leader="dot" w:pos="9298"/>
        </w:tabs>
        <w:rPr>
          <w:rFonts w:hint="eastAsia"/>
          <w:szCs w:val="22"/>
        </w:rPr>
      </w:pPr>
      <w:r>
        <w:rPr>
          <w:rFonts w:hint="eastAsia"/>
          <w:szCs w:val="22"/>
        </w:rPr>
        <w:t>具备设置报警分级速度阈值和灵敏度参数的功能；</w:t>
      </w:r>
    </w:p>
    <w:p>
      <w:pPr>
        <w:pStyle w:val="145"/>
        <w:numPr>
          <w:ilvl w:val="0"/>
          <w:numId w:val="31"/>
        </w:numPr>
        <w:tabs>
          <w:tab w:val="center" w:pos="4201"/>
          <w:tab w:val="right" w:leader="dot" w:pos="9298"/>
        </w:tabs>
        <w:rPr>
          <w:rFonts w:hint="eastAsia"/>
          <w:szCs w:val="22"/>
        </w:rPr>
      </w:pPr>
      <w:r>
        <w:rPr>
          <w:rFonts w:hint="eastAsia"/>
          <w:szCs w:val="22"/>
        </w:rPr>
        <w:t>使用不透光的材料遮盖摄像头后，识别并报警的延迟时间小于5s；</w:t>
      </w:r>
    </w:p>
    <w:p>
      <w:pPr>
        <w:pStyle w:val="145"/>
        <w:numPr>
          <w:ilvl w:val="0"/>
          <w:numId w:val="31"/>
        </w:numPr>
        <w:tabs>
          <w:tab w:val="center" w:pos="4201"/>
          <w:tab w:val="right" w:leader="dot" w:pos="9298"/>
        </w:tabs>
        <w:rPr>
          <w:rFonts w:hint="eastAsia"/>
          <w:szCs w:val="22"/>
        </w:rPr>
      </w:pPr>
      <w:r>
        <w:rPr>
          <w:rFonts w:hint="eastAsia"/>
          <w:szCs w:val="22"/>
        </w:rPr>
        <w:t>使用不透光的材料遮盖摄像头后，识别准确率在95%以上。</w:t>
      </w:r>
    </w:p>
    <w:p>
      <w:pPr>
        <w:pStyle w:val="149"/>
        <w:tabs>
          <w:tab w:val="center" w:pos="4201"/>
          <w:tab w:val="right" w:leader="dot" w:pos="9298"/>
        </w:tabs>
      </w:pPr>
      <w:r>
        <w:rPr>
          <w:rFonts w:hint="eastAsia"/>
        </w:rPr>
        <w:t>当车速低于报警分级速度阈值时，若检测到驾驶员遮挡</w:t>
      </w:r>
      <w:r>
        <w:t>设备</w:t>
      </w:r>
      <w:r>
        <w:rPr>
          <w:rFonts w:hint="eastAsia"/>
        </w:rPr>
        <w:t>行为，产生一级报警，同时应对驾驶员进行一级报警提示，报警提示包含语音提示及显示提示。</w:t>
      </w:r>
    </w:p>
    <w:p>
      <w:pPr>
        <w:pStyle w:val="149"/>
        <w:tabs>
          <w:tab w:val="center" w:pos="4201"/>
          <w:tab w:val="right" w:leader="dot" w:pos="9298"/>
        </w:tabs>
      </w:pPr>
      <w:r>
        <w:rPr>
          <w:rFonts w:hint="eastAsia"/>
        </w:rPr>
        <w:t>当车速高于报警分级速度阈值时，若检测到驾驶员遮挡</w:t>
      </w:r>
      <w:r>
        <w:t>设备</w:t>
      </w:r>
      <w:r>
        <w:rPr>
          <w:rFonts w:hint="eastAsia"/>
        </w:rPr>
        <w:t>行为，产生二级报警，同时应对驾驶员进行二级报警提示，报警提示包含语音提示及显示提示。</w:t>
      </w:r>
    </w:p>
    <w:p>
      <w:pPr>
        <w:pStyle w:val="149"/>
        <w:tabs>
          <w:tab w:val="center" w:pos="4201"/>
          <w:tab w:val="right" w:leader="dot" w:pos="9298"/>
        </w:tabs>
      </w:pPr>
      <w:r>
        <w:rPr>
          <w:rFonts w:hint="eastAsia"/>
        </w:rPr>
        <w:t>产生报警时，终端应向平台发送报警信息，报警信息需包含报警级别。若为报警级别为二级报警，则终端还需保存报警点的照片和视频，并上传至平台，</w:t>
      </w:r>
    </w:p>
    <w:p>
      <w:pPr>
        <w:pStyle w:val="62"/>
        <w:spacing w:before="156" w:after="156"/>
      </w:pPr>
      <w:bookmarkStart w:id="449" w:name="_Toc17642968"/>
      <w:bookmarkStart w:id="450" w:name="_Toc17642812"/>
      <w:r>
        <w:rPr>
          <w:rFonts w:hint="eastAsia"/>
        </w:rPr>
        <w:t>5.</w:t>
      </w:r>
      <w:r>
        <w:t>2</w:t>
      </w:r>
      <w:r>
        <w:rPr>
          <w:rFonts w:hint="eastAsia"/>
        </w:rPr>
        <w:t>.</w:t>
      </w:r>
      <w:r>
        <w:t>7</w:t>
      </w:r>
      <w:r>
        <w:rPr>
          <w:rFonts w:hint="eastAsia"/>
        </w:rPr>
        <w:t>.</w:t>
      </w:r>
      <w:r>
        <w:t>2</w:t>
      </w:r>
      <w:r>
        <w:rPr>
          <w:rFonts w:hint="eastAsia"/>
        </w:rPr>
        <w:t>红外阻断型墨镜失效提醒</w:t>
      </w:r>
      <w:bookmarkEnd w:id="449"/>
      <w:bookmarkEnd w:id="450"/>
    </w:p>
    <w:p>
      <w:pPr>
        <w:pStyle w:val="145"/>
        <w:numPr>
          <w:ilvl w:val="0"/>
          <w:numId w:val="32"/>
        </w:numPr>
        <w:tabs>
          <w:tab w:val="center" w:pos="4201"/>
          <w:tab w:val="right" w:leader="dot" w:pos="9298"/>
        </w:tabs>
        <w:rPr>
          <w:rFonts w:hint="eastAsia"/>
          <w:szCs w:val="22"/>
        </w:rPr>
      </w:pPr>
      <w:r>
        <w:rPr>
          <w:rFonts w:hint="eastAsia"/>
          <w:szCs w:val="22"/>
        </w:rPr>
        <w:t>能够在全部工况环境下（至少包括白天、夜晚、顺光、逆光、树荫阳光交替闪烁、车辆震动等）实现驾驶员佩戴红外阻断型墨镜的识别；</w:t>
      </w:r>
    </w:p>
    <w:p>
      <w:pPr>
        <w:pStyle w:val="145"/>
        <w:numPr>
          <w:ilvl w:val="0"/>
          <w:numId w:val="32"/>
        </w:numPr>
        <w:tabs>
          <w:tab w:val="center" w:pos="4201"/>
          <w:tab w:val="right" w:leader="dot" w:pos="9298"/>
        </w:tabs>
        <w:rPr>
          <w:rFonts w:hint="eastAsia"/>
          <w:szCs w:val="22"/>
        </w:rPr>
      </w:pPr>
      <w:r>
        <w:rPr>
          <w:rFonts w:hint="eastAsia"/>
          <w:szCs w:val="22"/>
        </w:rPr>
        <w:t>具备设置报警分级速度阈值和灵敏度参数的功能；</w:t>
      </w:r>
    </w:p>
    <w:p>
      <w:pPr>
        <w:pStyle w:val="145"/>
        <w:numPr>
          <w:ilvl w:val="0"/>
          <w:numId w:val="32"/>
        </w:numPr>
        <w:tabs>
          <w:tab w:val="center" w:pos="4201"/>
          <w:tab w:val="right" w:leader="dot" w:pos="9298"/>
        </w:tabs>
        <w:rPr>
          <w:rFonts w:hint="eastAsia"/>
          <w:szCs w:val="22"/>
        </w:rPr>
      </w:pPr>
      <w:r>
        <w:rPr>
          <w:rFonts w:hint="eastAsia"/>
          <w:szCs w:val="22"/>
        </w:rPr>
        <w:t>能够检测驾驶员佩戴红外阻断型墨镜，识别准确率在95%以上；</w:t>
      </w:r>
    </w:p>
    <w:p>
      <w:pPr>
        <w:pStyle w:val="145"/>
        <w:numPr>
          <w:ilvl w:val="0"/>
          <w:numId w:val="32"/>
        </w:numPr>
        <w:tabs>
          <w:tab w:val="center" w:pos="4201"/>
          <w:tab w:val="right" w:leader="dot" w:pos="9298"/>
        </w:tabs>
        <w:rPr>
          <w:rFonts w:hint="eastAsia"/>
          <w:szCs w:val="22"/>
        </w:rPr>
      </w:pPr>
      <w:r>
        <w:rPr>
          <w:rFonts w:hint="eastAsia"/>
          <w:szCs w:val="22"/>
        </w:rPr>
        <w:t>驾驶员佩戴红外阻断型墨镜后，识别且报警的时间延迟小于2s。</w:t>
      </w:r>
    </w:p>
    <w:p>
      <w:pPr>
        <w:pStyle w:val="149"/>
        <w:tabs>
          <w:tab w:val="center" w:pos="4201"/>
          <w:tab w:val="right" w:leader="dot" w:pos="9298"/>
        </w:tabs>
        <w:rPr>
          <w:rFonts w:eastAsia="Calibri"/>
          <w:szCs w:val="22"/>
        </w:rPr>
      </w:pPr>
      <w:r>
        <w:rPr>
          <w:rFonts w:eastAsia="Calibri"/>
          <w:szCs w:val="22"/>
        </w:rPr>
        <w:t>当车速低于报警分级速度阈值时，若检测到驾驶员佩戴红外阻断型墨镜行为，产生一级报警，同时应对驾驶员进行一级报警提示，报警提示包含语音提示及显示提示。</w:t>
      </w:r>
    </w:p>
    <w:p>
      <w:pPr>
        <w:pStyle w:val="149"/>
        <w:tabs>
          <w:tab w:val="center" w:pos="4201"/>
          <w:tab w:val="right" w:leader="dot" w:pos="9298"/>
        </w:tabs>
        <w:rPr>
          <w:rFonts w:eastAsia="Calibri"/>
          <w:szCs w:val="22"/>
        </w:rPr>
      </w:pPr>
      <w:r>
        <w:rPr>
          <w:rFonts w:eastAsia="Calibri"/>
          <w:szCs w:val="22"/>
        </w:rPr>
        <w:t>当车速高于报警分级速度阈值时，若检测到驾驶员佩戴红外阻断型墨镜行为，产生二级报警，同时应对驾驶员进行二级报警提示，报警提示包含语音提示及显示提示。</w:t>
      </w:r>
    </w:p>
    <w:p>
      <w:pPr>
        <w:pStyle w:val="149"/>
        <w:tabs>
          <w:tab w:val="center" w:pos="4201"/>
          <w:tab w:val="right" w:leader="dot" w:pos="9298"/>
        </w:tabs>
        <w:rPr>
          <w:rFonts w:eastAsia="Calibri"/>
          <w:szCs w:val="22"/>
        </w:rPr>
      </w:pPr>
      <w:r>
        <w:rPr>
          <w:rFonts w:eastAsia="Calibri"/>
          <w:szCs w:val="22"/>
        </w:rPr>
        <w:t>产生报警时，终端应向平台发送报警信息，报警信息需包含报警级别。若为报警级别为二级报警，则终端还需保存报警点至少包含驾驶员面部特征的照片和视频，并上传至平台。</w:t>
      </w:r>
    </w:p>
    <w:p>
      <w:pPr>
        <w:pStyle w:val="63"/>
        <w:spacing w:before="156" w:after="156"/>
      </w:pPr>
      <w:bookmarkStart w:id="451" w:name="_Toc13665056"/>
      <w:bookmarkStart w:id="452" w:name="_Toc17643116"/>
      <w:bookmarkStart w:id="453" w:name="_Toc13660649"/>
      <w:bookmarkStart w:id="454" w:name="_Toc31056"/>
      <w:bookmarkStart w:id="455" w:name="_Toc17642969"/>
      <w:bookmarkStart w:id="456" w:name="_Toc17642813"/>
      <w:bookmarkStart w:id="457" w:name="_Toc7109704"/>
      <w:r>
        <w:rPr>
          <w:rFonts w:hint="eastAsia"/>
        </w:rPr>
        <w:t>驾驶员身份识别</w:t>
      </w:r>
      <w:bookmarkEnd w:id="451"/>
      <w:bookmarkEnd w:id="452"/>
      <w:bookmarkEnd w:id="453"/>
      <w:bookmarkEnd w:id="454"/>
      <w:bookmarkEnd w:id="455"/>
      <w:bookmarkEnd w:id="456"/>
      <w:bookmarkEnd w:id="457"/>
    </w:p>
    <w:p>
      <w:pPr>
        <w:pStyle w:val="27"/>
      </w:pPr>
      <w:r>
        <w:rPr>
          <w:rFonts w:hint="eastAsia"/>
        </w:rPr>
        <w:t>车载终端应具备本地驾驶员面部特征识别功能，当车辆点火设备开机时、终端检测到驾驶员离开监控画面再返回时、定时巡检时，终端应主动抓拍包含驾驶员面部特征的照片，与驾驶员人脸库比对，进行身份认证，并将身份识别结果上传到平台。</w:t>
      </w:r>
    </w:p>
    <w:p>
      <w:pPr>
        <w:pStyle w:val="63"/>
        <w:spacing w:before="156" w:after="156"/>
      </w:pPr>
      <w:bookmarkStart w:id="458" w:name="_Toc7109702"/>
      <w:bookmarkStart w:id="459" w:name="_Toc13665054"/>
      <w:bookmarkStart w:id="460" w:name="_Toc13660647"/>
      <w:bookmarkStart w:id="461" w:name="_Toc24809"/>
      <w:bookmarkStart w:id="462" w:name="_Toc17642970"/>
      <w:bookmarkStart w:id="463" w:name="_Toc17643117"/>
      <w:bookmarkStart w:id="464" w:name="_Toc17642814"/>
      <w:r>
        <w:rPr>
          <w:rFonts w:hint="eastAsia"/>
        </w:rPr>
        <w:t>驾驶员双手同时脱离方向盘</w:t>
      </w:r>
      <w:bookmarkEnd w:id="458"/>
      <w:r>
        <w:rPr>
          <w:rFonts w:hint="eastAsia"/>
        </w:rPr>
        <w:t>报警</w:t>
      </w:r>
      <w:bookmarkEnd w:id="459"/>
      <w:bookmarkEnd w:id="460"/>
      <w:r>
        <w:rPr>
          <w:rFonts w:hint="eastAsia"/>
        </w:rPr>
        <w:t>（选配）</w:t>
      </w:r>
      <w:bookmarkEnd w:id="461"/>
      <w:bookmarkEnd w:id="462"/>
      <w:bookmarkEnd w:id="463"/>
      <w:bookmarkEnd w:id="464"/>
    </w:p>
    <w:p>
      <w:pPr>
        <w:pStyle w:val="27"/>
        <w:rPr>
          <w:rFonts w:hint="eastAsia"/>
        </w:rPr>
      </w:pPr>
      <w:r>
        <w:rPr>
          <w:rFonts w:hint="eastAsia"/>
        </w:rPr>
        <w:t>在车辆行驶过程中，视频车载终端应能够对驾驶员双手同时脱离方向盘的行为进行识别和分析，对驾驶员违规行为进行报警提示，同时保存报警点驾驶员面部特征照片和视频信息，事件驱动并实现本地存储和远程存储，且具备以下功能：</w:t>
      </w:r>
    </w:p>
    <w:p>
      <w:pPr>
        <w:pStyle w:val="145"/>
        <w:numPr>
          <w:ilvl w:val="0"/>
          <w:numId w:val="33"/>
        </w:numPr>
        <w:tabs>
          <w:tab w:val="center" w:pos="4201"/>
          <w:tab w:val="right" w:leader="dot" w:pos="9298"/>
        </w:tabs>
        <w:rPr>
          <w:rFonts w:hint="eastAsia"/>
          <w:szCs w:val="22"/>
        </w:rPr>
      </w:pPr>
      <w:r>
        <w:rPr>
          <w:rFonts w:hint="eastAsia"/>
          <w:szCs w:val="22"/>
        </w:rPr>
        <w:t>能够在全部工况环境下（至少包括白天、夜晚、顺光、逆光、树荫阳光交替闪烁、车辆震动等）实现驾驶员双手同时脱离方向盘行为的识别；</w:t>
      </w:r>
    </w:p>
    <w:p>
      <w:pPr>
        <w:pStyle w:val="145"/>
        <w:numPr>
          <w:ilvl w:val="0"/>
          <w:numId w:val="33"/>
        </w:numPr>
        <w:tabs>
          <w:tab w:val="center" w:pos="4201"/>
          <w:tab w:val="right" w:leader="dot" w:pos="9298"/>
        </w:tabs>
        <w:rPr>
          <w:rFonts w:hint="eastAsia"/>
          <w:szCs w:val="22"/>
        </w:rPr>
      </w:pPr>
      <w:r>
        <w:rPr>
          <w:rFonts w:hint="eastAsia"/>
          <w:szCs w:val="22"/>
        </w:rPr>
        <w:t>具备设置报警分级速度阈值的功能；</w:t>
      </w:r>
    </w:p>
    <w:p>
      <w:pPr>
        <w:pStyle w:val="145"/>
        <w:numPr>
          <w:ilvl w:val="0"/>
          <w:numId w:val="33"/>
        </w:numPr>
        <w:tabs>
          <w:tab w:val="center" w:pos="4201"/>
          <w:tab w:val="right" w:leader="dot" w:pos="9298"/>
        </w:tabs>
        <w:rPr>
          <w:rFonts w:hint="eastAsia"/>
          <w:szCs w:val="22"/>
        </w:rPr>
      </w:pPr>
      <w:r>
        <w:rPr>
          <w:rFonts w:hint="eastAsia"/>
          <w:szCs w:val="22"/>
        </w:rPr>
        <w:t>对驾驶员双手同时脱离方向盘行为的识别准确率在95%以上，识别和报警总时间延迟应小于2s：</w:t>
      </w:r>
    </w:p>
    <w:p>
      <w:pPr>
        <w:pStyle w:val="149"/>
        <w:tabs>
          <w:tab w:val="center" w:pos="4201"/>
          <w:tab w:val="right" w:leader="dot" w:pos="9298"/>
        </w:tabs>
        <w:rPr>
          <w:rFonts w:eastAsia="Calibri"/>
          <w:szCs w:val="22"/>
        </w:rPr>
      </w:pPr>
      <w:r>
        <w:rPr>
          <w:rFonts w:eastAsia="Calibri"/>
          <w:szCs w:val="22"/>
        </w:rPr>
        <w:t>当车速低于报警分级速度阈值时，若检测到驾驶员双手同时脱离方向盘的行为，产生一级报警，同时应对驾驶员进行一级报警提示，报警提示包含语音提示及显示提示。</w:t>
      </w:r>
    </w:p>
    <w:p>
      <w:pPr>
        <w:pStyle w:val="149"/>
        <w:tabs>
          <w:tab w:val="center" w:pos="4201"/>
          <w:tab w:val="right" w:leader="dot" w:pos="9298"/>
        </w:tabs>
        <w:rPr>
          <w:rFonts w:eastAsia="Calibri"/>
          <w:szCs w:val="22"/>
        </w:rPr>
      </w:pPr>
      <w:r>
        <w:rPr>
          <w:rFonts w:eastAsia="Calibri"/>
          <w:szCs w:val="22"/>
        </w:rPr>
        <w:t>当车速高于报警分级速度阈值时，若检测到驾驶员双手同时脱离方向盘的行为，产生二级报警，同时应对驾驶员进行二级报警提示，报警提示包含语音提示及显示提示。</w:t>
      </w:r>
    </w:p>
    <w:p>
      <w:pPr>
        <w:pStyle w:val="149"/>
        <w:tabs>
          <w:tab w:val="center" w:pos="4201"/>
          <w:tab w:val="right" w:leader="dot" w:pos="9298"/>
        </w:tabs>
        <w:rPr>
          <w:rFonts w:eastAsia="Calibri"/>
          <w:szCs w:val="22"/>
        </w:rPr>
      </w:pPr>
      <w:r>
        <w:rPr>
          <w:rFonts w:eastAsia="Calibri"/>
          <w:szCs w:val="22"/>
        </w:rPr>
        <w:t>产生报警时，终端应保存报警点前后包含驾驶员面部特征的视频和驾驶员姿势全貌的视频，并向平台发送驾驶员双手同时脱离方向盘报警信息，报警信息需包含报警级别信息，支持配置报警时驾驶员面部特征视频和驾驶员姿态全貌视频上传平台。</w:t>
      </w:r>
    </w:p>
    <w:p>
      <w:pPr>
        <w:pStyle w:val="63"/>
        <w:spacing w:before="156" w:after="156"/>
      </w:pPr>
      <w:bookmarkStart w:id="465" w:name="_Toc655"/>
      <w:bookmarkStart w:id="466" w:name="_Toc13665057"/>
      <w:bookmarkStart w:id="467" w:name="_Toc17643118"/>
      <w:bookmarkStart w:id="468" w:name="_Toc17642971"/>
      <w:bookmarkStart w:id="469" w:name="_Toc17642815"/>
      <w:bookmarkStart w:id="470" w:name="_Toc13660650"/>
      <w:bookmarkStart w:id="471" w:name="_Toc7109705"/>
      <w:r>
        <w:rPr>
          <w:rFonts w:hint="eastAsia"/>
        </w:rPr>
        <w:t>超时驾驶报警（选配）</w:t>
      </w:r>
      <w:bookmarkEnd w:id="465"/>
      <w:bookmarkEnd w:id="466"/>
      <w:bookmarkEnd w:id="467"/>
      <w:bookmarkEnd w:id="468"/>
      <w:bookmarkEnd w:id="469"/>
      <w:bookmarkEnd w:id="470"/>
    </w:p>
    <w:p>
      <w:pPr>
        <w:pStyle w:val="27"/>
      </w:pPr>
      <w:bookmarkStart w:id="472" w:name="_Toc2875"/>
      <w:bookmarkStart w:id="473" w:name="_Toc13665058"/>
      <w:bookmarkStart w:id="474" w:name="_Toc13660651"/>
      <w:r>
        <w:rPr>
          <w:rFonts w:hint="eastAsia"/>
        </w:rPr>
        <w:t>终端可根据预先设定的时间阈值的信息触发，提醒驾驶员当前处于超时驾驶状态。</w:t>
      </w:r>
      <w:bookmarkEnd w:id="472"/>
    </w:p>
    <w:p>
      <w:pPr>
        <w:pStyle w:val="63"/>
        <w:spacing w:before="156" w:after="156"/>
      </w:pPr>
      <w:bookmarkStart w:id="475" w:name="_Toc913"/>
      <w:bookmarkStart w:id="476" w:name="_Toc17642816"/>
      <w:bookmarkStart w:id="477" w:name="_Toc17642972"/>
      <w:bookmarkStart w:id="478" w:name="_Toc17643119"/>
      <w:r>
        <w:rPr>
          <w:rFonts w:hint="eastAsia"/>
        </w:rPr>
        <w:t>换人</w:t>
      </w:r>
      <w:r>
        <w:t>驾驶报警</w:t>
      </w:r>
      <w:r>
        <w:rPr>
          <w:rFonts w:hint="eastAsia"/>
        </w:rPr>
        <w:t>（选配）</w:t>
      </w:r>
      <w:bookmarkEnd w:id="473"/>
      <w:bookmarkEnd w:id="474"/>
      <w:bookmarkEnd w:id="475"/>
      <w:bookmarkEnd w:id="476"/>
      <w:bookmarkEnd w:id="477"/>
      <w:bookmarkEnd w:id="478"/>
    </w:p>
    <w:p>
      <w:pPr>
        <w:pStyle w:val="27"/>
      </w:pPr>
      <w:r>
        <w:rPr>
          <w:rFonts w:hint="eastAsia"/>
        </w:rPr>
        <w:t>终端可具备驾驶员面部特征识别功能，终端监测到驾驶员离开监控画面再返回时， 终端应能将重新出现的驾驶员面部特征与离开前的驾驶员面部特征相对比。若驾驶员面部特 征不同，则向平台发送换人驾驶前、后驾驶员的照片等信息。</w:t>
      </w:r>
    </w:p>
    <w:p>
      <w:pPr>
        <w:pStyle w:val="63"/>
        <w:spacing w:before="156" w:after="156"/>
      </w:pPr>
      <w:bookmarkStart w:id="479" w:name="_Toc17642973"/>
      <w:bookmarkStart w:id="480" w:name="_Toc13660652"/>
      <w:bookmarkStart w:id="481" w:name="_Toc17643120"/>
      <w:bookmarkStart w:id="482" w:name="_Toc13665059"/>
      <w:bookmarkStart w:id="483" w:name="_Toc4596"/>
      <w:bookmarkStart w:id="484" w:name="_Toc17642817"/>
      <w:r>
        <w:rPr>
          <w:rFonts w:hint="eastAsia"/>
        </w:rPr>
        <w:t>驾驶员主动拍照</w:t>
      </w:r>
      <w:bookmarkEnd w:id="471"/>
      <w:r>
        <w:rPr>
          <w:rFonts w:hint="eastAsia"/>
        </w:rPr>
        <w:t>（选配）</w:t>
      </w:r>
      <w:bookmarkEnd w:id="479"/>
      <w:bookmarkEnd w:id="480"/>
      <w:bookmarkEnd w:id="481"/>
      <w:bookmarkEnd w:id="482"/>
      <w:bookmarkEnd w:id="483"/>
      <w:bookmarkEnd w:id="484"/>
    </w:p>
    <w:p>
      <w:pPr>
        <w:pStyle w:val="27"/>
        <w:ind w:firstLine="0" w:firstLineChars="0"/>
        <w:rPr>
          <w:sz w:val="24"/>
        </w:rPr>
      </w:pPr>
      <w:r>
        <w:rPr>
          <w:rFonts w:hint="eastAsia"/>
        </w:rPr>
        <w:t xml:space="preserve">5.2.12.1终端应具备主动拍照的功能，在车辆行驶过程中，终端 </w:t>
      </w:r>
      <w:r>
        <w:rPr>
          <w:rFonts w:eastAsia="Calibri"/>
        </w:rPr>
        <w:t>DSM</w:t>
      </w:r>
      <w:r>
        <w:rPr>
          <w:rFonts w:hint="eastAsia"/>
        </w:rPr>
        <w:t xml:space="preserve"> 模块应能够定时、定距或触发拍摄驾驶员面部特征图片，并将照片上传至平台。</w:t>
      </w:r>
    </w:p>
    <w:p>
      <w:pPr>
        <w:spacing w:line="11" w:lineRule="exact"/>
        <w:ind w:firstLine="480"/>
        <w:jc w:val="left"/>
        <w:rPr>
          <w:sz w:val="24"/>
        </w:rPr>
      </w:pPr>
    </w:p>
    <w:p>
      <w:pPr>
        <w:pStyle w:val="27"/>
        <w:ind w:firstLine="0" w:firstLineChars="0"/>
        <w:rPr>
          <w:sz w:val="24"/>
        </w:rPr>
      </w:pPr>
      <w:r>
        <w:rPr>
          <w:rFonts w:hint="eastAsia"/>
        </w:rPr>
        <w:t>5.2.12.2驾驶员主动拍照功能中的时间与距离参数应可通过终端或平台进行设置与修改。</w:t>
      </w:r>
    </w:p>
    <w:p>
      <w:pPr>
        <w:pStyle w:val="64"/>
        <w:ind w:hanging="709" w:hangingChars="338"/>
      </w:pPr>
      <w:bookmarkStart w:id="485" w:name="_Toc17563780"/>
      <w:bookmarkStart w:id="486" w:name="_Toc17565883"/>
      <w:bookmarkStart w:id="487" w:name="_Toc13641"/>
      <w:bookmarkStart w:id="488" w:name="_Toc17643121"/>
      <w:bookmarkStart w:id="489" w:name="_Toc17642818"/>
      <w:bookmarkStart w:id="490" w:name="_Toc18138068"/>
      <w:bookmarkStart w:id="491" w:name="_Toc18102103"/>
      <w:bookmarkStart w:id="492" w:name="_Toc17642974"/>
      <w:r>
        <w:rPr>
          <w:rFonts w:hint="eastAsia"/>
        </w:rPr>
        <w:t>其他功能（选配）</w:t>
      </w:r>
      <w:bookmarkEnd w:id="485"/>
      <w:bookmarkEnd w:id="486"/>
      <w:bookmarkEnd w:id="487"/>
      <w:bookmarkEnd w:id="488"/>
      <w:bookmarkEnd w:id="489"/>
      <w:bookmarkEnd w:id="490"/>
      <w:bookmarkEnd w:id="491"/>
      <w:bookmarkEnd w:id="492"/>
    </w:p>
    <w:p>
      <w:pPr>
        <w:pStyle w:val="63"/>
        <w:spacing w:before="156" w:after="156"/>
      </w:pPr>
      <w:bookmarkStart w:id="493" w:name="_Toc13665068"/>
      <w:bookmarkStart w:id="494" w:name="_Toc13660661"/>
      <w:bookmarkStart w:id="495" w:name="_Toc29234"/>
      <w:bookmarkStart w:id="496" w:name="_Toc17642819"/>
      <w:bookmarkStart w:id="497" w:name="_Toc17643122"/>
      <w:bookmarkStart w:id="498" w:name="_Toc17642975"/>
      <w:bookmarkStart w:id="499" w:name="_Toc13658927"/>
      <w:bookmarkStart w:id="500" w:name="_Toc13665073"/>
      <w:bookmarkStart w:id="501" w:name="_Toc12443_WPSOffice_Level1"/>
      <w:bookmarkStart w:id="502" w:name="_Toc436_WPSOffice_Level1"/>
      <w:bookmarkStart w:id="503" w:name="_Toc3390"/>
      <w:bookmarkStart w:id="504" w:name="_Toc7109717"/>
      <w:r>
        <w:rPr>
          <w:rFonts w:hint="eastAsia"/>
        </w:rPr>
        <w:t>开机自检</w:t>
      </w:r>
      <w:bookmarkEnd w:id="493"/>
      <w:bookmarkEnd w:id="494"/>
      <w:bookmarkEnd w:id="495"/>
      <w:r>
        <w:rPr>
          <w:rFonts w:hint="eastAsia"/>
        </w:rPr>
        <w:t>（选配）</w:t>
      </w:r>
      <w:bookmarkEnd w:id="496"/>
      <w:bookmarkEnd w:id="497"/>
      <w:bookmarkEnd w:id="498"/>
    </w:p>
    <w:p>
      <w:pPr>
        <w:pStyle w:val="27"/>
      </w:pPr>
      <w:r>
        <w:rPr>
          <w:rFonts w:hint="eastAsia"/>
        </w:rPr>
        <w:t>设备应在车辆启动后完成对所有主要的系统传感器和组件的自检，通过信号灯或显示屏明确表示设备的当前工作状态。若出现故障，则通过信号灯或显示屏显示故障类型等信息，同时上传到平台。</w:t>
      </w:r>
    </w:p>
    <w:p>
      <w:pPr>
        <w:pStyle w:val="63"/>
        <w:spacing w:before="156" w:after="156"/>
      </w:pPr>
      <w:bookmarkStart w:id="505" w:name="_Toc9695_WPSOffice_Level1"/>
      <w:bookmarkStart w:id="506" w:name="_Toc6226_WPSOffice_Level1"/>
      <w:bookmarkStart w:id="507" w:name="_Toc13665032"/>
      <w:bookmarkStart w:id="508" w:name="_Toc27533"/>
      <w:bookmarkStart w:id="509" w:name="_Toc17642820"/>
      <w:bookmarkStart w:id="510" w:name="_Toc17642976"/>
      <w:bookmarkStart w:id="511" w:name="_Toc17643123"/>
      <w:r>
        <w:rPr>
          <w:rFonts w:hint="eastAsia"/>
        </w:rPr>
        <w:t>卫星定位功能</w:t>
      </w:r>
      <w:bookmarkEnd w:id="505"/>
      <w:bookmarkEnd w:id="506"/>
      <w:bookmarkEnd w:id="507"/>
      <w:bookmarkEnd w:id="508"/>
      <w:r>
        <w:rPr>
          <w:rFonts w:hint="eastAsia"/>
        </w:rPr>
        <w:t>（选配）</w:t>
      </w:r>
      <w:bookmarkEnd w:id="509"/>
      <w:bookmarkEnd w:id="510"/>
      <w:bookmarkEnd w:id="511"/>
    </w:p>
    <w:p>
      <w:pPr>
        <w:pStyle w:val="27"/>
      </w:pPr>
      <w:r>
        <w:rPr>
          <w:rFonts w:hint="eastAsia"/>
        </w:rPr>
        <w:t>卫星定位功能应符合JT/T 794标准中功能要求。</w:t>
      </w:r>
    </w:p>
    <w:p>
      <w:pPr>
        <w:pStyle w:val="63"/>
        <w:spacing w:before="156" w:after="156"/>
      </w:pPr>
      <w:bookmarkStart w:id="512" w:name="_Toc21311"/>
      <w:bookmarkStart w:id="513" w:name="_Toc13665031"/>
      <w:bookmarkStart w:id="514" w:name="_Toc17642821"/>
      <w:bookmarkStart w:id="515" w:name="_Toc17643124"/>
      <w:bookmarkStart w:id="516" w:name="_Toc17642977"/>
      <w:r>
        <w:rPr>
          <w:rFonts w:hint="eastAsia"/>
        </w:rPr>
        <w:t>行车记录仪功能</w:t>
      </w:r>
      <w:bookmarkEnd w:id="512"/>
      <w:bookmarkEnd w:id="513"/>
      <w:r>
        <w:rPr>
          <w:rFonts w:hint="eastAsia"/>
        </w:rPr>
        <w:t>（选配）</w:t>
      </w:r>
      <w:bookmarkEnd w:id="514"/>
      <w:bookmarkEnd w:id="515"/>
      <w:bookmarkEnd w:id="516"/>
    </w:p>
    <w:p>
      <w:pPr>
        <w:pStyle w:val="27"/>
      </w:pPr>
      <w:r>
        <w:rPr>
          <w:rFonts w:hint="eastAsia"/>
        </w:rPr>
        <w:t>行车记录仪功能应符合GB/T 19056标准中功能要求。</w:t>
      </w:r>
    </w:p>
    <w:p>
      <w:pPr>
        <w:pStyle w:val="63"/>
        <w:spacing w:before="156" w:after="156"/>
      </w:pPr>
      <w:bookmarkStart w:id="517" w:name="_Toc16989_WPSOffice_Level1"/>
      <w:bookmarkStart w:id="518" w:name="_Toc10190"/>
      <w:bookmarkStart w:id="519" w:name="_Toc27780_WPSOffice_Level1"/>
      <w:bookmarkStart w:id="520" w:name="_Toc13665033"/>
      <w:bookmarkStart w:id="521" w:name="_Toc17642822"/>
      <w:bookmarkStart w:id="522" w:name="_Toc17642978"/>
      <w:bookmarkStart w:id="523" w:name="_Toc17643125"/>
      <w:r>
        <w:rPr>
          <w:rFonts w:hint="eastAsia"/>
        </w:rPr>
        <w:t>车载视频监控功能</w:t>
      </w:r>
      <w:bookmarkEnd w:id="517"/>
      <w:bookmarkEnd w:id="518"/>
      <w:bookmarkEnd w:id="519"/>
      <w:bookmarkEnd w:id="520"/>
      <w:r>
        <w:rPr>
          <w:rFonts w:hint="eastAsia"/>
        </w:rPr>
        <w:t>（选配）</w:t>
      </w:r>
      <w:bookmarkEnd w:id="521"/>
      <w:bookmarkEnd w:id="522"/>
      <w:bookmarkEnd w:id="523"/>
    </w:p>
    <w:p>
      <w:pPr>
        <w:pStyle w:val="27"/>
        <w:rPr>
          <w:sz w:val="24"/>
        </w:rPr>
      </w:pPr>
      <w:r>
        <w:rPr>
          <w:rFonts w:hint="eastAsia"/>
        </w:rPr>
        <w:t>车载视频监控功能应符合JT/T 1076标准功能要求。</w:t>
      </w:r>
    </w:p>
    <w:p>
      <w:pPr>
        <w:pStyle w:val="63"/>
        <w:spacing w:before="156" w:after="156"/>
      </w:pPr>
      <w:bookmarkStart w:id="524" w:name="_Toc13665034"/>
      <w:bookmarkStart w:id="525" w:name="_Toc8316"/>
      <w:bookmarkStart w:id="526" w:name="_Toc7109683"/>
      <w:bookmarkStart w:id="527" w:name="_Toc13660627"/>
      <w:bookmarkStart w:id="528" w:name="_Toc17642979"/>
      <w:bookmarkStart w:id="529" w:name="_Toc17642823"/>
      <w:bookmarkStart w:id="530" w:name="_Toc17643126"/>
      <w:r>
        <w:rPr>
          <w:rFonts w:hint="eastAsia"/>
        </w:rPr>
        <w:t>设备参数管理</w:t>
      </w:r>
      <w:bookmarkEnd w:id="524"/>
      <w:bookmarkEnd w:id="525"/>
      <w:bookmarkEnd w:id="526"/>
      <w:bookmarkEnd w:id="527"/>
      <w:r>
        <w:rPr>
          <w:rFonts w:hint="eastAsia"/>
        </w:rPr>
        <w:t>（选配）</w:t>
      </w:r>
      <w:bookmarkEnd w:id="528"/>
      <w:bookmarkEnd w:id="529"/>
      <w:bookmarkEnd w:id="530"/>
    </w:p>
    <w:p>
      <w:pPr>
        <w:pStyle w:val="27"/>
      </w:pPr>
      <w:r>
        <w:rPr>
          <w:rFonts w:hint="eastAsia"/>
        </w:rPr>
        <w:t>终端应支持本地查看、设置相关参数功能；也应支持远程查看、设置相关参数功能，设备参数应包括：</w:t>
      </w:r>
    </w:p>
    <w:p>
      <w:pPr>
        <w:pStyle w:val="145"/>
        <w:numPr>
          <w:ilvl w:val="0"/>
          <w:numId w:val="34"/>
        </w:numPr>
        <w:tabs>
          <w:tab w:val="center" w:pos="4201"/>
          <w:tab w:val="right" w:leader="dot" w:pos="9298"/>
        </w:tabs>
        <w:rPr>
          <w:rFonts w:hint="eastAsia"/>
          <w:szCs w:val="22"/>
        </w:rPr>
      </w:pPr>
      <w:r>
        <w:rPr>
          <w:rFonts w:hint="eastAsia"/>
          <w:szCs w:val="22"/>
        </w:rPr>
        <w:t>JT/T 794-2011 中5.10所规定参数。</w:t>
      </w:r>
    </w:p>
    <w:p>
      <w:pPr>
        <w:pStyle w:val="145"/>
        <w:numPr>
          <w:ilvl w:val="0"/>
          <w:numId w:val="34"/>
        </w:numPr>
        <w:tabs>
          <w:tab w:val="center" w:pos="4201"/>
          <w:tab w:val="right" w:leader="dot" w:pos="9298"/>
        </w:tabs>
        <w:rPr>
          <w:rFonts w:hint="eastAsia"/>
          <w:szCs w:val="22"/>
        </w:rPr>
      </w:pPr>
      <w:r>
        <w:rPr>
          <w:rFonts w:hint="eastAsia"/>
          <w:szCs w:val="22"/>
        </w:rPr>
        <w:t>JT/T 1076-2016 中5.6.3.4所规定参数。</w:t>
      </w:r>
    </w:p>
    <w:p>
      <w:pPr>
        <w:pStyle w:val="145"/>
        <w:numPr>
          <w:ilvl w:val="0"/>
          <w:numId w:val="34"/>
        </w:numPr>
        <w:tabs>
          <w:tab w:val="center" w:pos="4201"/>
          <w:tab w:val="right" w:leader="dot" w:pos="9298"/>
        </w:tabs>
        <w:rPr>
          <w:rFonts w:hint="eastAsia"/>
          <w:szCs w:val="22"/>
        </w:rPr>
      </w:pPr>
      <w:r>
        <w:rPr>
          <w:rFonts w:hint="eastAsia"/>
          <w:szCs w:val="22"/>
        </w:rPr>
        <w:t>智能视频监控报警装置系统终端通讯协议及数据格式中涉及到的参数。</w:t>
      </w:r>
    </w:p>
    <w:p>
      <w:pPr>
        <w:pStyle w:val="63"/>
        <w:spacing w:before="156" w:after="156"/>
      </w:pPr>
      <w:bookmarkStart w:id="531" w:name="_Toc5292"/>
      <w:bookmarkStart w:id="532" w:name="_Toc7109685"/>
      <w:bookmarkStart w:id="533" w:name="_Toc13665036"/>
      <w:bookmarkStart w:id="534" w:name="_Toc13660629"/>
      <w:bookmarkStart w:id="535" w:name="_Toc17642824"/>
      <w:bookmarkStart w:id="536" w:name="_Toc17643127"/>
      <w:bookmarkStart w:id="537" w:name="_Toc17642980"/>
      <w:r>
        <w:rPr>
          <w:rFonts w:hint="eastAsia"/>
        </w:rPr>
        <w:t>本地录像管理</w:t>
      </w:r>
      <w:bookmarkEnd w:id="531"/>
      <w:bookmarkEnd w:id="532"/>
      <w:bookmarkEnd w:id="533"/>
      <w:bookmarkEnd w:id="534"/>
      <w:r>
        <w:rPr>
          <w:rFonts w:hint="eastAsia"/>
        </w:rPr>
        <w:t>（选配）</w:t>
      </w:r>
      <w:bookmarkEnd w:id="535"/>
      <w:bookmarkEnd w:id="536"/>
      <w:bookmarkEnd w:id="537"/>
    </w:p>
    <w:p>
      <w:pPr>
        <w:pStyle w:val="125"/>
        <w:tabs>
          <w:tab w:val="center" w:pos="4201"/>
          <w:tab w:val="right" w:leader="dot" w:pos="9298"/>
        </w:tabs>
        <w:ind w:firstLine="420" w:firstLineChars="200"/>
        <w:rPr>
          <w:rFonts w:hint="eastAsia"/>
        </w:rPr>
      </w:pPr>
      <w:r>
        <w:rPr>
          <w:rFonts w:hint="eastAsia"/>
        </w:rPr>
        <w:t>车载视频终端应支持以下本地录像</w:t>
      </w:r>
      <w:r>
        <w:t>管理</w:t>
      </w:r>
      <w:r>
        <w:rPr>
          <w:rFonts w:hint="eastAsia"/>
        </w:rPr>
        <w:t>功能：</w:t>
      </w:r>
    </w:p>
    <w:p>
      <w:pPr>
        <w:pStyle w:val="145"/>
        <w:numPr>
          <w:ilvl w:val="0"/>
          <w:numId w:val="35"/>
        </w:numPr>
        <w:tabs>
          <w:tab w:val="center" w:pos="4201"/>
          <w:tab w:val="right" w:leader="dot" w:pos="9298"/>
        </w:tabs>
        <w:rPr>
          <w:rFonts w:hint="eastAsia"/>
          <w:szCs w:val="22"/>
        </w:rPr>
      </w:pPr>
      <w:r>
        <w:rPr>
          <w:rFonts w:hint="eastAsia"/>
          <w:szCs w:val="22"/>
        </w:rPr>
        <w:t>支持摄像机不同分辨率、帧率的音视频数据本地存储。</w:t>
      </w:r>
    </w:p>
    <w:p>
      <w:pPr>
        <w:pStyle w:val="145"/>
        <w:numPr>
          <w:ilvl w:val="0"/>
          <w:numId w:val="35"/>
        </w:numPr>
        <w:tabs>
          <w:tab w:val="center" w:pos="4201"/>
          <w:tab w:val="right" w:leader="dot" w:pos="9298"/>
        </w:tabs>
        <w:rPr>
          <w:rFonts w:hint="eastAsia"/>
          <w:szCs w:val="22"/>
        </w:rPr>
      </w:pPr>
      <w:r>
        <w:rPr>
          <w:rFonts w:hint="eastAsia"/>
          <w:szCs w:val="22"/>
        </w:rPr>
        <w:t>支持DSM和ADAS视频数据本地存储。</w:t>
      </w:r>
    </w:p>
    <w:p>
      <w:pPr>
        <w:pStyle w:val="145"/>
        <w:numPr>
          <w:ilvl w:val="0"/>
          <w:numId w:val="35"/>
        </w:numPr>
        <w:tabs>
          <w:tab w:val="center" w:pos="4201"/>
          <w:tab w:val="right" w:leader="dot" w:pos="9298"/>
        </w:tabs>
        <w:rPr>
          <w:rFonts w:hint="eastAsia"/>
          <w:szCs w:val="22"/>
        </w:rPr>
      </w:pPr>
      <w:r>
        <w:rPr>
          <w:rFonts w:hint="eastAsia"/>
          <w:szCs w:val="22"/>
        </w:rPr>
        <w:t>支持按照日期时间、</w:t>
      </w:r>
      <w:bookmarkStart w:id="538" w:name="page6"/>
      <w:bookmarkEnd w:id="538"/>
      <w:r>
        <w:rPr>
          <w:rFonts w:hint="eastAsia"/>
          <w:szCs w:val="22"/>
        </w:rPr>
        <w:t>通道号、报警类型等方式本地查看音视频录像文件目录。</w:t>
      </w:r>
    </w:p>
    <w:p>
      <w:pPr>
        <w:pStyle w:val="145"/>
        <w:numPr>
          <w:ilvl w:val="0"/>
          <w:numId w:val="35"/>
        </w:numPr>
        <w:tabs>
          <w:tab w:val="center" w:pos="4201"/>
          <w:tab w:val="right" w:leader="dot" w:pos="9298"/>
        </w:tabs>
        <w:rPr>
          <w:rFonts w:hint="eastAsia"/>
          <w:szCs w:val="22"/>
        </w:rPr>
      </w:pPr>
      <w:r>
        <w:rPr>
          <w:rFonts w:hint="eastAsia"/>
          <w:szCs w:val="22"/>
        </w:rPr>
        <w:t>支持本地播放指定音视频录像文件；应支持 U 盘或其他存储介质本地下载指定音视频录像文件。</w:t>
      </w:r>
    </w:p>
    <w:p>
      <w:pPr>
        <w:pStyle w:val="63"/>
        <w:spacing w:before="156" w:after="156"/>
      </w:pPr>
      <w:bookmarkStart w:id="539" w:name="_Toc13660628"/>
      <w:bookmarkStart w:id="540" w:name="_Toc14159"/>
      <w:bookmarkStart w:id="541" w:name="_Toc7109684"/>
      <w:bookmarkStart w:id="542" w:name="_Toc13665035"/>
      <w:bookmarkStart w:id="543" w:name="_Toc17642981"/>
      <w:bookmarkStart w:id="544" w:name="_Toc17642825"/>
      <w:bookmarkStart w:id="545" w:name="_Toc17643128"/>
      <w:r>
        <w:rPr>
          <w:rFonts w:hint="eastAsia"/>
        </w:rPr>
        <w:t>实时音视频上传</w:t>
      </w:r>
      <w:bookmarkEnd w:id="539"/>
      <w:bookmarkEnd w:id="540"/>
      <w:bookmarkEnd w:id="541"/>
      <w:bookmarkEnd w:id="542"/>
      <w:r>
        <w:rPr>
          <w:rFonts w:hint="eastAsia"/>
        </w:rPr>
        <w:t>（选配）</w:t>
      </w:r>
      <w:bookmarkEnd w:id="543"/>
      <w:bookmarkEnd w:id="544"/>
      <w:bookmarkEnd w:id="545"/>
    </w:p>
    <w:p>
      <w:pPr>
        <w:pStyle w:val="125"/>
        <w:tabs>
          <w:tab w:val="center" w:pos="4201"/>
          <w:tab w:val="right" w:leader="dot" w:pos="9298"/>
        </w:tabs>
        <w:rPr>
          <w:rFonts w:hint="eastAsia"/>
        </w:rPr>
      </w:pPr>
      <w:r>
        <w:rPr>
          <w:rFonts w:hint="eastAsia" w:ascii="黑体" w:hAnsi="黑体" w:eastAsia="黑体"/>
        </w:rPr>
        <w:t>5.2.7.1</w:t>
      </w:r>
      <w:r>
        <w:rPr>
          <w:rFonts w:hint="eastAsia"/>
        </w:rPr>
        <w:t xml:space="preserve">车载视频终端应支持采用 </w:t>
      </w:r>
      <w:r>
        <w:t>TCP</w:t>
      </w:r>
      <w:r>
        <w:rPr>
          <w:rFonts w:hint="eastAsia"/>
        </w:rPr>
        <w:t xml:space="preserve"> 或 </w:t>
      </w:r>
      <w:r>
        <w:t>UDP</w:t>
      </w:r>
      <w:r>
        <w:rPr>
          <w:rFonts w:hint="eastAsia"/>
        </w:rPr>
        <w:t xml:space="preserve"> 方式上传单路、多路实时音视频数据。</w:t>
      </w:r>
    </w:p>
    <w:p>
      <w:pPr>
        <w:pStyle w:val="125"/>
        <w:tabs>
          <w:tab w:val="center" w:pos="4201"/>
          <w:tab w:val="right" w:leader="dot" w:pos="9298"/>
        </w:tabs>
        <w:rPr>
          <w:sz w:val="24"/>
        </w:rPr>
      </w:pPr>
      <w:r>
        <w:rPr>
          <w:rFonts w:hint="eastAsia" w:ascii="黑体" w:hAnsi="黑体" w:eastAsia="黑体"/>
        </w:rPr>
        <w:t>5.2.7.2</w:t>
      </w:r>
      <w:r>
        <w:rPr>
          <w:rFonts w:hint="eastAsia"/>
        </w:rPr>
        <w:t xml:space="preserve">支持 </w:t>
      </w:r>
      <w:r>
        <w:t>OSD</w:t>
      </w:r>
      <w:r>
        <w:rPr>
          <w:rFonts w:hint="eastAsia"/>
        </w:rPr>
        <w:t xml:space="preserve"> 视频叠加功能，主要包括日期、时间、车牌号、经纬度、卫星速度、车速脉冲速度或 </w:t>
      </w:r>
      <w:r>
        <w:t>CAN</w:t>
      </w:r>
      <w:r>
        <w:rPr>
          <w:rFonts w:hint="eastAsia"/>
        </w:rPr>
        <w:t xml:space="preserve"> 信息速度等信息。</w:t>
      </w:r>
    </w:p>
    <w:p>
      <w:pPr>
        <w:pStyle w:val="63"/>
        <w:spacing w:before="156" w:after="156"/>
      </w:pPr>
      <w:bookmarkStart w:id="546" w:name="_Toc27079"/>
      <w:bookmarkStart w:id="547" w:name="_Toc13660630"/>
      <w:bookmarkStart w:id="548" w:name="_Toc7109686"/>
      <w:bookmarkStart w:id="549" w:name="_Toc13665037"/>
      <w:bookmarkStart w:id="550" w:name="_Toc17642982"/>
      <w:bookmarkStart w:id="551" w:name="_Toc17643129"/>
      <w:bookmarkStart w:id="552" w:name="_Toc17642826"/>
      <w:r>
        <w:rPr>
          <w:rFonts w:hint="eastAsia"/>
        </w:rPr>
        <w:t>远程录像管理</w:t>
      </w:r>
      <w:bookmarkEnd w:id="546"/>
      <w:bookmarkEnd w:id="547"/>
      <w:bookmarkEnd w:id="548"/>
      <w:bookmarkEnd w:id="549"/>
      <w:r>
        <w:rPr>
          <w:rFonts w:hint="eastAsia"/>
        </w:rPr>
        <w:t>（选配）</w:t>
      </w:r>
      <w:bookmarkEnd w:id="550"/>
      <w:bookmarkEnd w:id="551"/>
      <w:bookmarkEnd w:id="552"/>
    </w:p>
    <w:p>
      <w:pPr>
        <w:pStyle w:val="27"/>
        <w:rPr>
          <w:rFonts w:hint="eastAsia"/>
        </w:rPr>
      </w:pPr>
      <w:r>
        <w:rPr>
          <w:rFonts w:hint="eastAsia"/>
        </w:rPr>
        <w:t>车载视频终端应支持以下远程</w:t>
      </w:r>
      <w:r>
        <w:t>录像</w:t>
      </w:r>
      <w:r>
        <w:rPr>
          <w:rFonts w:hint="eastAsia"/>
        </w:rPr>
        <w:t>管理功能：</w:t>
      </w:r>
    </w:p>
    <w:p>
      <w:pPr>
        <w:pStyle w:val="145"/>
        <w:numPr>
          <w:ilvl w:val="0"/>
          <w:numId w:val="36"/>
        </w:numPr>
        <w:tabs>
          <w:tab w:val="center" w:pos="4201"/>
          <w:tab w:val="right" w:leader="dot" w:pos="9298"/>
        </w:tabs>
        <w:rPr>
          <w:rFonts w:hint="eastAsia"/>
          <w:szCs w:val="22"/>
        </w:rPr>
      </w:pPr>
      <w:r>
        <w:rPr>
          <w:rFonts w:hint="eastAsia"/>
          <w:szCs w:val="22"/>
        </w:rPr>
        <w:t>支持按照日期时间、通道号、报警类型等方式远程查看音视频录像文件目录。</w:t>
      </w:r>
    </w:p>
    <w:p>
      <w:pPr>
        <w:pStyle w:val="145"/>
        <w:numPr>
          <w:ilvl w:val="0"/>
          <w:numId w:val="36"/>
        </w:numPr>
        <w:tabs>
          <w:tab w:val="center" w:pos="4201"/>
          <w:tab w:val="right" w:leader="dot" w:pos="9298"/>
        </w:tabs>
        <w:rPr>
          <w:rFonts w:hint="eastAsia"/>
          <w:szCs w:val="22"/>
        </w:rPr>
      </w:pPr>
      <w:r>
        <w:rPr>
          <w:rFonts w:hint="eastAsia"/>
          <w:szCs w:val="22"/>
        </w:rPr>
        <w:t>支持月历查询音视频录像文件。</w:t>
      </w:r>
    </w:p>
    <w:p>
      <w:pPr>
        <w:pStyle w:val="145"/>
        <w:numPr>
          <w:ilvl w:val="0"/>
          <w:numId w:val="36"/>
        </w:numPr>
        <w:tabs>
          <w:tab w:val="center" w:pos="4201"/>
          <w:tab w:val="right" w:leader="dot" w:pos="9298"/>
        </w:tabs>
        <w:rPr>
          <w:rFonts w:hint="eastAsia"/>
          <w:szCs w:val="22"/>
        </w:rPr>
      </w:pPr>
      <w:r>
        <w:rPr>
          <w:rFonts w:hint="eastAsia"/>
          <w:szCs w:val="22"/>
        </w:rPr>
        <w:t>支持按照开始结束的日期时间、通道号、回放方式等远程回放音视频录像文件。</w:t>
      </w:r>
    </w:p>
    <w:p>
      <w:pPr>
        <w:pStyle w:val="145"/>
        <w:numPr>
          <w:ilvl w:val="0"/>
          <w:numId w:val="36"/>
        </w:numPr>
        <w:tabs>
          <w:tab w:val="center" w:pos="4201"/>
          <w:tab w:val="right" w:leader="dot" w:pos="9298"/>
        </w:tabs>
        <w:rPr>
          <w:rFonts w:hint="eastAsia"/>
          <w:szCs w:val="22"/>
        </w:rPr>
      </w:pPr>
      <w:r>
        <w:rPr>
          <w:rFonts w:hint="eastAsia"/>
          <w:szCs w:val="22"/>
        </w:rPr>
        <w:t>支持远程回放控制，包括开始、暂停、结束、快进、快退、拖动、关键帧播放。</w:t>
      </w:r>
    </w:p>
    <w:p>
      <w:pPr>
        <w:pStyle w:val="145"/>
        <w:numPr>
          <w:ilvl w:val="0"/>
          <w:numId w:val="36"/>
        </w:numPr>
        <w:tabs>
          <w:tab w:val="center" w:pos="4201"/>
          <w:tab w:val="right" w:leader="dot" w:pos="9298"/>
        </w:tabs>
        <w:rPr>
          <w:rFonts w:hint="eastAsia"/>
          <w:szCs w:val="22"/>
        </w:rPr>
      </w:pPr>
      <w:r>
        <w:rPr>
          <w:rFonts w:hint="eastAsia"/>
          <w:szCs w:val="22"/>
        </w:rPr>
        <w:t>支持按照开始结束的日期时间、通道号等远程下载音视频录像文件。</w:t>
      </w:r>
    </w:p>
    <w:p>
      <w:pPr>
        <w:pStyle w:val="63"/>
        <w:spacing w:before="156" w:after="156"/>
      </w:pPr>
      <w:bookmarkStart w:id="553" w:name="_Toc7109687"/>
      <w:bookmarkStart w:id="554" w:name="_Toc13660631"/>
      <w:bookmarkStart w:id="555" w:name="_Toc27346"/>
      <w:bookmarkStart w:id="556" w:name="_Toc13665038"/>
      <w:bookmarkStart w:id="557" w:name="_Toc17643130"/>
      <w:bookmarkStart w:id="558" w:name="_Toc17642983"/>
      <w:bookmarkStart w:id="559" w:name="_Toc17642827"/>
      <w:r>
        <w:rPr>
          <w:rFonts w:hint="eastAsia"/>
        </w:rPr>
        <w:t>数据安全保护</w:t>
      </w:r>
      <w:bookmarkEnd w:id="553"/>
      <w:bookmarkEnd w:id="554"/>
      <w:bookmarkEnd w:id="555"/>
      <w:bookmarkEnd w:id="556"/>
      <w:r>
        <w:rPr>
          <w:rFonts w:hint="eastAsia"/>
        </w:rPr>
        <w:t>（选配）</w:t>
      </w:r>
      <w:bookmarkEnd w:id="557"/>
      <w:bookmarkEnd w:id="558"/>
      <w:bookmarkEnd w:id="559"/>
    </w:p>
    <w:p>
      <w:pPr>
        <w:pStyle w:val="125"/>
        <w:tabs>
          <w:tab w:val="center" w:pos="4201"/>
          <w:tab w:val="right" w:leader="dot" w:pos="9298"/>
        </w:tabs>
        <w:rPr>
          <w:sz w:val="24"/>
        </w:rPr>
      </w:pPr>
      <w:r>
        <w:rPr>
          <w:rFonts w:hint="eastAsia" w:ascii="黑体" w:hAnsi="黑体" w:eastAsia="黑体"/>
        </w:rPr>
        <w:t>5.2.9.1</w:t>
      </w:r>
      <w:r>
        <w:rPr>
          <w:rFonts w:hint="eastAsia"/>
        </w:rPr>
        <w:t xml:space="preserve">终端数据安全保护功能应符合 </w:t>
      </w:r>
      <w:r>
        <w:t>JT/T 1076-2016</w:t>
      </w:r>
      <w:r>
        <w:rPr>
          <w:rFonts w:hint="eastAsia"/>
        </w:rPr>
        <w:t xml:space="preserve"> 标准 </w:t>
      </w:r>
      <w:r>
        <w:t>5.5</w:t>
      </w:r>
      <w:r>
        <w:rPr>
          <w:rFonts w:hint="eastAsia"/>
        </w:rPr>
        <w:t xml:space="preserve"> 要求，且应具备断点续传功能。在上传音视频时，若突然因外界因素与服务器断开链接，待恢复链接后，应能够从已经上传的部分开始继续上传完成的部分，而不需从头开始上传。</w:t>
      </w:r>
    </w:p>
    <w:p>
      <w:pPr>
        <w:pStyle w:val="125"/>
        <w:tabs>
          <w:tab w:val="center" w:pos="4201"/>
          <w:tab w:val="right" w:leader="dot" w:pos="9298"/>
        </w:tabs>
        <w:rPr>
          <w:sz w:val="24"/>
        </w:rPr>
      </w:pPr>
      <w:r>
        <w:rPr>
          <w:rFonts w:hint="eastAsia" w:ascii="黑体" w:hAnsi="黑体" w:eastAsia="黑体"/>
        </w:rPr>
        <w:t>5.3.9.2</w:t>
      </w:r>
      <w:r>
        <w:rPr>
          <w:rFonts w:hint="eastAsia"/>
        </w:rPr>
        <w:t>终端及高级驾驶辅助模块、驾驶状态监测模块只能通过唯一移动网络与受控服务器通讯，保障数据安全性。</w:t>
      </w:r>
    </w:p>
    <w:p>
      <w:pPr>
        <w:pStyle w:val="63"/>
        <w:spacing w:before="156" w:after="156"/>
      </w:pPr>
      <w:bookmarkStart w:id="560" w:name="_Toc7109688"/>
      <w:bookmarkStart w:id="561" w:name="_Toc20171"/>
      <w:bookmarkStart w:id="562" w:name="_Toc13665039"/>
      <w:bookmarkStart w:id="563" w:name="_Toc13660632"/>
      <w:bookmarkStart w:id="564" w:name="_Toc17643131"/>
      <w:bookmarkStart w:id="565" w:name="_Toc17642984"/>
      <w:bookmarkStart w:id="566" w:name="_Toc17642828"/>
      <w:r>
        <w:rPr>
          <w:rFonts w:hint="eastAsia"/>
        </w:rPr>
        <w:t>调度监控</w:t>
      </w:r>
      <w:bookmarkEnd w:id="560"/>
      <w:bookmarkEnd w:id="561"/>
      <w:bookmarkEnd w:id="562"/>
      <w:bookmarkEnd w:id="563"/>
      <w:r>
        <w:rPr>
          <w:rFonts w:hint="eastAsia"/>
        </w:rPr>
        <w:t>（选配）</w:t>
      </w:r>
      <w:bookmarkEnd w:id="564"/>
      <w:bookmarkEnd w:id="565"/>
      <w:bookmarkEnd w:id="566"/>
    </w:p>
    <w:p>
      <w:pPr>
        <w:pStyle w:val="27"/>
      </w:pPr>
      <w:r>
        <w:rPr>
          <w:rFonts w:hint="eastAsia"/>
        </w:rPr>
        <w:t xml:space="preserve">符合 </w:t>
      </w:r>
      <w:r>
        <w:rPr>
          <w:rFonts w:eastAsia="Calibri"/>
        </w:rPr>
        <w:t>JT/T 794-2011</w:t>
      </w:r>
      <w:r>
        <w:rPr>
          <w:rFonts w:hint="eastAsia"/>
        </w:rPr>
        <w:t xml:space="preserve"> 标准 </w:t>
      </w:r>
      <w:r>
        <w:rPr>
          <w:rFonts w:eastAsia="Calibri"/>
        </w:rPr>
        <w:t>5.6</w:t>
      </w:r>
      <w:r>
        <w:rPr>
          <w:rFonts w:hint="eastAsia"/>
        </w:rPr>
        <w:t>、</w:t>
      </w:r>
      <w:r>
        <w:rPr>
          <w:rFonts w:eastAsia="Calibri"/>
        </w:rPr>
        <w:t>5.7</w:t>
      </w:r>
      <w:r>
        <w:rPr>
          <w:rFonts w:hint="eastAsia"/>
        </w:rPr>
        <w:t>、</w:t>
      </w:r>
      <w:r>
        <w:rPr>
          <w:rFonts w:eastAsia="Calibri"/>
        </w:rPr>
        <w:t>5.12</w:t>
      </w:r>
      <w:r>
        <w:rPr>
          <w:rFonts w:hint="eastAsia"/>
        </w:rPr>
        <w:t xml:space="preserve"> 要求，车载视频终端应同时支持双向对讲和单向语音监听功能。</w:t>
      </w:r>
      <w:bookmarkStart w:id="567" w:name="page10"/>
      <w:bookmarkEnd w:id="567"/>
    </w:p>
    <w:p>
      <w:pPr>
        <w:pStyle w:val="63"/>
        <w:spacing w:before="156" w:after="156"/>
      </w:pPr>
      <w:bookmarkStart w:id="568" w:name="_Toc7109715"/>
      <w:bookmarkStart w:id="569" w:name="_Toc13665067"/>
      <w:bookmarkStart w:id="570" w:name="_Toc25706"/>
      <w:bookmarkStart w:id="571" w:name="_Toc13660660"/>
      <w:bookmarkStart w:id="572" w:name="_Toc17643132"/>
      <w:bookmarkStart w:id="573" w:name="_Toc17642985"/>
      <w:bookmarkStart w:id="574" w:name="_Toc17642829"/>
      <w:r>
        <w:rPr>
          <w:rFonts w:hint="eastAsia"/>
        </w:rPr>
        <w:t>固件升级</w:t>
      </w:r>
      <w:bookmarkEnd w:id="568"/>
      <w:bookmarkEnd w:id="569"/>
      <w:bookmarkEnd w:id="570"/>
      <w:bookmarkEnd w:id="571"/>
      <w:r>
        <w:rPr>
          <w:rFonts w:hint="eastAsia"/>
        </w:rPr>
        <w:t>（选配）</w:t>
      </w:r>
      <w:bookmarkEnd w:id="572"/>
      <w:bookmarkEnd w:id="573"/>
      <w:bookmarkEnd w:id="574"/>
    </w:p>
    <w:p>
      <w:pPr>
        <w:pStyle w:val="125"/>
        <w:tabs>
          <w:tab w:val="center" w:pos="4201"/>
          <w:tab w:val="right" w:leader="dot" w:pos="9298"/>
        </w:tabs>
      </w:pPr>
      <w:r>
        <w:rPr>
          <w:rFonts w:hint="eastAsia" w:ascii="黑体" w:hAnsi="黑体" w:eastAsia="黑体"/>
        </w:rPr>
        <w:t>5.2.11.1</w:t>
      </w:r>
      <w:r>
        <w:rPr>
          <w:rFonts w:hint="eastAsia"/>
        </w:rPr>
        <w:t>终端应当能够具备远程固件升级功能，其升级功能满足JT/T 794标准5.10相关要求，使用终端控制制定对终端进行升级时，终端应先判断是否满足升级条件，再下载对应的升级文件。固件升级应支持本地（SD卡、USB或其他数字接口）方式实现。</w:t>
      </w:r>
    </w:p>
    <w:p>
      <w:pPr>
        <w:pStyle w:val="125"/>
        <w:tabs>
          <w:tab w:val="center" w:pos="4201"/>
          <w:tab w:val="right" w:leader="dot" w:pos="9298"/>
        </w:tabs>
      </w:pPr>
      <w:r>
        <w:rPr>
          <w:rFonts w:hint="eastAsia" w:ascii="黑体" w:hAnsi="黑体" w:eastAsia="黑体"/>
        </w:rPr>
        <w:t>5.2.11.2</w:t>
      </w:r>
      <w:r>
        <w:rPr>
          <w:rFonts w:hint="eastAsia"/>
        </w:rPr>
        <w:t>固件升级操作应满足以下安全要求：</w:t>
      </w:r>
    </w:p>
    <w:p>
      <w:pPr>
        <w:pStyle w:val="145"/>
        <w:numPr>
          <w:ilvl w:val="0"/>
          <w:numId w:val="37"/>
        </w:numPr>
        <w:tabs>
          <w:tab w:val="center" w:pos="4201"/>
          <w:tab w:val="right" w:leader="dot" w:pos="9298"/>
        </w:tabs>
        <w:rPr>
          <w:rFonts w:hint="eastAsia"/>
          <w:szCs w:val="22"/>
        </w:rPr>
      </w:pPr>
      <w:r>
        <w:rPr>
          <w:rFonts w:hint="eastAsia"/>
          <w:szCs w:val="22"/>
        </w:rPr>
        <w:t>终端升级固件只能使用本平台的服务器或本平台提供的升级链接；</w:t>
      </w:r>
    </w:p>
    <w:p>
      <w:pPr>
        <w:pStyle w:val="145"/>
        <w:numPr>
          <w:ilvl w:val="0"/>
          <w:numId w:val="37"/>
        </w:numPr>
        <w:tabs>
          <w:tab w:val="center" w:pos="4201"/>
          <w:tab w:val="right" w:leader="dot" w:pos="9298"/>
        </w:tabs>
        <w:rPr>
          <w:rFonts w:hint="eastAsia"/>
          <w:szCs w:val="22"/>
        </w:rPr>
      </w:pPr>
      <w:r>
        <w:rPr>
          <w:rFonts w:hint="eastAsia"/>
          <w:szCs w:val="22"/>
        </w:rPr>
        <w:t>终端固件的远程下发只能通过唯一受控的移动通讯网络进行。</w:t>
      </w:r>
    </w:p>
    <w:p>
      <w:pPr>
        <w:pStyle w:val="63"/>
        <w:spacing w:before="156" w:after="156"/>
      </w:pPr>
      <w:bookmarkStart w:id="575" w:name="_Toc13665069"/>
      <w:bookmarkStart w:id="576" w:name="_Toc7109716"/>
      <w:bookmarkStart w:id="577" w:name="_Toc18733"/>
      <w:bookmarkStart w:id="578" w:name="_Toc13660662"/>
      <w:bookmarkStart w:id="579" w:name="_Toc17642986"/>
      <w:bookmarkStart w:id="580" w:name="_Toc17643133"/>
      <w:bookmarkStart w:id="581" w:name="_Toc17642830"/>
      <w:r>
        <w:rPr>
          <w:rFonts w:hint="eastAsia"/>
        </w:rPr>
        <w:t>报警提示功能</w:t>
      </w:r>
      <w:bookmarkEnd w:id="575"/>
      <w:bookmarkEnd w:id="576"/>
      <w:bookmarkEnd w:id="577"/>
      <w:bookmarkEnd w:id="578"/>
      <w:r>
        <w:rPr>
          <w:rFonts w:hint="eastAsia"/>
        </w:rPr>
        <w:t>（选配）</w:t>
      </w:r>
      <w:bookmarkEnd w:id="579"/>
      <w:bookmarkEnd w:id="580"/>
      <w:bookmarkEnd w:id="581"/>
    </w:p>
    <w:p>
      <w:pPr>
        <w:pStyle w:val="27"/>
      </w:pPr>
      <w:r>
        <w:rPr>
          <w:rFonts w:hint="eastAsia"/>
        </w:rPr>
        <w:t>车载终端及外设应当为驾驶员提供相应的报警提示设备，需安装在车内为驾驶员提供危险状态报警提示和实时辅助驾驶信息显示，运用图标和声音共同结合进行提醒与警告，报警方式应在各种环境下清楚识别，报警提示设备支持本地和远程升级。</w:t>
      </w:r>
    </w:p>
    <w:p>
      <w:pPr>
        <w:pStyle w:val="63"/>
        <w:spacing w:before="156" w:after="156"/>
      </w:pPr>
      <w:bookmarkStart w:id="582" w:name="_Toc13660663"/>
      <w:bookmarkStart w:id="583" w:name="_Toc28981"/>
      <w:bookmarkStart w:id="584" w:name="_Toc13665070"/>
      <w:bookmarkStart w:id="585" w:name="_Toc17642831"/>
      <w:bookmarkStart w:id="586" w:name="_Toc17643134"/>
      <w:bookmarkStart w:id="587" w:name="_Toc17642987"/>
      <w:r>
        <w:rPr>
          <w:rFonts w:hint="eastAsia"/>
        </w:rPr>
        <w:t>报警</w:t>
      </w:r>
      <w:r>
        <w:t>优先级排序</w:t>
      </w:r>
      <w:bookmarkEnd w:id="582"/>
      <w:bookmarkEnd w:id="583"/>
      <w:bookmarkEnd w:id="584"/>
      <w:r>
        <w:rPr>
          <w:rFonts w:hint="eastAsia"/>
        </w:rPr>
        <w:t>（选配）</w:t>
      </w:r>
      <w:bookmarkEnd w:id="585"/>
      <w:bookmarkEnd w:id="586"/>
      <w:bookmarkEnd w:id="587"/>
    </w:p>
    <w:p>
      <w:pPr>
        <w:pStyle w:val="125"/>
        <w:tabs>
          <w:tab w:val="center" w:pos="4201"/>
          <w:tab w:val="right" w:leader="dot" w:pos="9298"/>
        </w:tabs>
        <w:rPr>
          <w:rFonts w:hint="eastAsia"/>
        </w:rPr>
      </w:pPr>
      <w:r>
        <w:rPr>
          <w:rFonts w:hint="eastAsia" w:ascii="黑体" w:hAnsi="黑体" w:eastAsia="黑体"/>
        </w:rPr>
        <w:t>5.2.13.1</w:t>
      </w:r>
      <w:r>
        <w:rPr>
          <w:rFonts w:hint="eastAsia"/>
        </w:rPr>
        <w:t>当</w:t>
      </w:r>
      <w:r>
        <w:t>多项报警同时触发时，</w:t>
      </w:r>
      <w:r>
        <w:rPr>
          <w:rFonts w:hint="eastAsia"/>
        </w:rPr>
        <w:t>终端</w:t>
      </w:r>
      <w:r>
        <w:t>应具备</w:t>
      </w:r>
      <w:r>
        <w:rPr>
          <w:rFonts w:hint="eastAsia"/>
        </w:rPr>
        <w:t>报警</w:t>
      </w:r>
      <w:r>
        <w:t>优先级区分功能，可根据</w:t>
      </w:r>
      <w:r>
        <w:rPr>
          <w:rFonts w:hint="eastAsia"/>
        </w:rPr>
        <w:t>系统</w:t>
      </w:r>
      <w:r>
        <w:t>内定的报警优先级</w:t>
      </w:r>
      <w:r>
        <w:rPr>
          <w:rFonts w:hint="eastAsia"/>
        </w:rPr>
        <w:t>对</w:t>
      </w:r>
      <w:r>
        <w:t>各项报警区分</w:t>
      </w:r>
      <w:r>
        <w:rPr>
          <w:rFonts w:hint="eastAsia"/>
        </w:rPr>
        <w:t>优先程度。</w:t>
      </w:r>
    </w:p>
    <w:p>
      <w:pPr>
        <w:pStyle w:val="125"/>
        <w:tabs>
          <w:tab w:val="center" w:pos="4201"/>
          <w:tab w:val="right" w:leader="dot" w:pos="9298"/>
        </w:tabs>
      </w:pPr>
      <w:r>
        <w:rPr>
          <w:rFonts w:hint="eastAsia" w:ascii="黑体" w:hAnsi="黑体" w:eastAsia="黑体"/>
        </w:rPr>
        <w:t>5.2.13.2</w:t>
      </w:r>
      <w:r>
        <w:t>要求疲劳驾驶</w:t>
      </w:r>
      <w:r>
        <w:rPr>
          <w:rFonts w:hint="eastAsia"/>
        </w:rPr>
        <w:t>报警</w:t>
      </w:r>
      <w:r>
        <w:t>为</w:t>
      </w:r>
      <w:r>
        <w:rPr>
          <w:rFonts w:hint="eastAsia"/>
        </w:rPr>
        <w:t>驾驶员</w:t>
      </w:r>
      <w:r>
        <w:t>驾驶行为监测系统中的最高优先级</w:t>
      </w:r>
      <w:r>
        <w:rPr>
          <w:rFonts w:hint="eastAsia"/>
        </w:rPr>
        <w:t>报警</w:t>
      </w:r>
      <w:r>
        <w:t>，前车碰撞</w:t>
      </w:r>
      <w:r>
        <w:rPr>
          <w:rFonts w:hint="eastAsia"/>
        </w:rPr>
        <w:t>报警为车辆运行监测系统</w:t>
      </w:r>
      <w:r>
        <w:t>中的为最高优先级报警</w:t>
      </w:r>
      <w:r>
        <w:rPr>
          <w:rFonts w:hint="eastAsia"/>
        </w:rPr>
        <w:t>。</w:t>
      </w:r>
    </w:p>
    <w:p>
      <w:pPr>
        <w:pStyle w:val="63"/>
        <w:spacing w:before="156" w:after="156"/>
      </w:pPr>
      <w:bookmarkStart w:id="588" w:name="_Toc13660664"/>
      <w:bookmarkStart w:id="589" w:name="_Toc13665071"/>
      <w:bookmarkStart w:id="590" w:name="_Toc10340"/>
      <w:bookmarkStart w:id="591" w:name="_Toc17642832"/>
      <w:bookmarkStart w:id="592" w:name="_Toc17642988"/>
      <w:bookmarkStart w:id="593" w:name="_Toc17643135"/>
      <w:r>
        <w:rPr>
          <w:rFonts w:hint="eastAsia"/>
        </w:rPr>
        <w:t>多平台</w:t>
      </w:r>
      <w:r>
        <w:t>上报功能</w:t>
      </w:r>
      <w:bookmarkEnd w:id="588"/>
      <w:bookmarkEnd w:id="589"/>
      <w:bookmarkEnd w:id="590"/>
      <w:r>
        <w:rPr>
          <w:rFonts w:hint="eastAsia"/>
        </w:rPr>
        <w:t>（选配）</w:t>
      </w:r>
      <w:bookmarkEnd w:id="591"/>
      <w:bookmarkEnd w:id="592"/>
      <w:bookmarkEnd w:id="593"/>
    </w:p>
    <w:p>
      <w:pPr>
        <w:pStyle w:val="27"/>
        <w:rPr>
          <w:sz w:val="24"/>
        </w:rPr>
      </w:pPr>
      <w:r>
        <w:rPr>
          <w:rFonts w:hint="eastAsia"/>
        </w:rPr>
        <w:t>终端</w:t>
      </w:r>
      <w:r>
        <w:t>应</w:t>
      </w:r>
      <w:r>
        <w:rPr>
          <w:rFonts w:hint="eastAsia"/>
        </w:rPr>
        <w:t>支持多平台上报功能，</w:t>
      </w:r>
      <w:r>
        <w:t>应可</w:t>
      </w:r>
      <w:r>
        <w:rPr>
          <w:rFonts w:hint="eastAsia"/>
        </w:rPr>
        <w:t>支持同时上报</w:t>
      </w:r>
      <w:r>
        <w:t>6</w:t>
      </w:r>
      <w:r>
        <w:rPr>
          <w:rFonts w:hint="eastAsia"/>
        </w:rPr>
        <w:t>个平台服务器，且</w:t>
      </w:r>
      <w:r>
        <w:t>可支持</w:t>
      </w:r>
      <w:r>
        <w:rPr>
          <w:rFonts w:hint="eastAsia"/>
        </w:rPr>
        <w:t>至少同时上报</w:t>
      </w:r>
      <w:r>
        <w:t>4</w:t>
      </w:r>
      <w:r>
        <w:rPr>
          <w:rFonts w:hint="eastAsia"/>
        </w:rPr>
        <w:t>个部标平台服务器</w:t>
      </w:r>
      <w:r>
        <w:t>。</w:t>
      </w:r>
    </w:p>
    <w:p>
      <w:pPr>
        <w:pStyle w:val="63"/>
        <w:spacing w:before="156" w:after="156"/>
      </w:pPr>
      <w:bookmarkStart w:id="594" w:name="_Toc29952"/>
      <w:bookmarkStart w:id="595" w:name="_Toc13660656"/>
      <w:bookmarkStart w:id="596" w:name="_Toc13665063"/>
      <w:bookmarkStart w:id="597" w:name="_Toc17642833"/>
      <w:bookmarkStart w:id="598" w:name="_Toc17643136"/>
      <w:bookmarkStart w:id="599" w:name="_Toc17642989"/>
      <w:bookmarkStart w:id="600" w:name="_Toc7109713"/>
      <w:r>
        <w:rPr>
          <w:rFonts w:hint="eastAsia"/>
        </w:rPr>
        <w:t>驾驶</w:t>
      </w:r>
      <w:r>
        <w:t>行为管理</w:t>
      </w:r>
      <w:bookmarkEnd w:id="594"/>
      <w:bookmarkEnd w:id="595"/>
      <w:bookmarkEnd w:id="596"/>
      <w:r>
        <w:rPr>
          <w:rFonts w:hint="eastAsia"/>
        </w:rPr>
        <w:t>（选配）</w:t>
      </w:r>
      <w:bookmarkEnd w:id="597"/>
      <w:bookmarkEnd w:id="598"/>
      <w:bookmarkEnd w:id="599"/>
    </w:p>
    <w:p>
      <w:pPr>
        <w:pStyle w:val="27"/>
      </w:pPr>
      <w:r>
        <w:rPr>
          <w:rFonts w:hint="eastAsia"/>
        </w:rPr>
        <w:t>终端可支持驾驶行为管理，可支持识别车辆急加速、车辆急刹车的危险驾驶行为，并支持以报警方式上报平台。</w:t>
      </w:r>
    </w:p>
    <w:bookmarkEnd w:id="600"/>
    <w:p>
      <w:pPr>
        <w:pStyle w:val="63"/>
        <w:spacing w:before="156" w:after="156"/>
      </w:pPr>
      <w:bookmarkStart w:id="601" w:name="_Toc13665066"/>
      <w:bookmarkStart w:id="602" w:name="_Toc7109714"/>
      <w:bookmarkStart w:id="603" w:name="_Toc13660659"/>
      <w:bookmarkStart w:id="604" w:name="_Toc7302"/>
      <w:bookmarkStart w:id="605" w:name="_Toc17642834"/>
      <w:bookmarkStart w:id="606" w:name="_Toc17642990"/>
      <w:bookmarkStart w:id="607" w:name="_Toc17643137"/>
      <w:r>
        <w:rPr>
          <w:rFonts w:hint="eastAsia"/>
        </w:rPr>
        <w:t>报警证据采集</w:t>
      </w:r>
      <w:bookmarkEnd w:id="601"/>
      <w:bookmarkEnd w:id="602"/>
      <w:bookmarkEnd w:id="603"/>
      <w:bookmarkEnd w:id="604"/>
      <w:r>
        <w:rPr>
          <w:rFonts w:hint="eastAsia"/>
        </w:rPr>
        <w:t>（选配）</w:t>
      </w:r>
      <w:bookmarkEnd w:id="605"/>
      <w:bookmarkEnd w:id="606"/>
      <w:bookmarkEnd w:id="607"/>
    </w:p>
    <w:p>
      <w:pPr>
        <w:pStyle w:val="125"/>
        <w:tabs>
          <w:tab w:val="center" w:pos="4201"/>
          <w:tab w:val="right" w:leader="dot" w:pos="9298"/>
        </w:tabs>
        <w:rPr>
          <w:rFonts w:hint="eastAsia"/>
        </w:rPr>
      </w:pPr>
      <w:r>
        <w:rPr>
          <w:rFonts w:hint="eastAsia" w:ascii="黑体" w:hAnsi="黑体" w:eastAsia="黑体"/>
        </w:rPr>
        <w:t>5.2.16.1</w:t>
      </w:r>
      <w:r>
        <w:rPr>
          <w:rFonts w:hint="eastAsia"/>
        </w:rPr>
        <w:t>终端应具备触发报警时，采集报警证据的功能。</w:t>
      </w:r>
    </w:p>
    <w:p>
      <w:pPr>
        <w:pStyle w:val="125"/>
        <w:tabs>
          <w:tab w:val="center" w:pos="4201"/>
          <w:tab w:val="right" w:leader="dot" w:pos="9298"/>
        </w:tabs>
      </w:pPr>
      <w:r>
        <w:rPr>
          <w:rFonts w:hint="eastAsia" w:ascii="黑体" w:hAnsi="黑体" w:eastAsia="黑体"/>
        </w:rPr>
        <w:t>5.2.16.2</w:t>
      </w:r>
      <w:r>
        <w:rPr>
          <w:rFonts w:hint="eastAsia"/>
        </w:rPr>
        <w:t>报警证据包含并不限于报警点前后一路以上视频通道的图片和视频、报警点前后车辆状态信息等，车辆状态采集方式为终端触发报警时，终端应以</w:t>
      </w:r>
      <w:r>
        <w:t>不高于</w:t>
      </w:r>
      <w:r>
        <w:rPr>
          <w:rFonts w:hint="eastAsia"/>
        </w:rPr>
        <w:t>200</w:t>
      </w:r>
      <w:r>
        <w:t>ms的时间间隔</w:t>
      </w:r>
      <w:r>
        <w:rPr>
          <w:rFonts w:hint="eastAsia"/>
        </w:rPr>
        <w:t>记录报警点前后不少于5秒的车辆状态数据，并生成车辆状态数据记录文件。</w:t>
      </w:r>
    </w:p>
    <w:p>
      <w:pPr>
        <w:pStyle w:val="63"/>
        <w:spacing w:before="156" w:after="156"/>
      </w:pPr>
      <w:bookmarkStart w:id="608" w:name="_Toc4718"/>
      <w:bookmarkStart w:id="609" w:name="_Toc13660665"/>
      <w:bookmarkStart w:id="610" w:name="_Toc13665072"/>
      <w:bookmarkStart w:id="611" w:name="_Toc17642835"/>
      <w:bookmarkStart w:id="612" w:name="_Toc17642991"/>
      <w:bookmarkStart w:id="613" w:name="_Toc17643138"/>
      <w:r>
        <w:rPr>
          <w:rFonts w:hint="eastAsia"/>
        </w:rPr>
        <w:t>功能</w:t>
      </w:r>
      <w:r>
        <w:t>失效报警</w:t>
      </w:r>
      <w:r>
        <w:rPr>
          <w:rFonts w:hint="eastAsia"/>
        </w:rPr>
        <w:t>提醒</w:t>
      </w:r>
      <w:bookmarkEnd w:id="608"/>
      <w:bookmarkEnd w:id="609"/>
      <w:bookmarkEnd w:id="610"/>
      <w:r>
        <w:rPr>
          <w:rFonts w:hint="eastAsia"/>
        </w:rPr>
        <w:t>（选配）</w:t>
      </w:r>
      <w:bookmarkEnd w:id="611"/>
      <w:bookmarkEnd w:id="612"/>
      <w:bookmarkEnd w:id="613"/>
    </w:p>
    <w:p>
      <w:pPr>
        <w:pStyle w:val="27"/>
      </w:pPr>
      <w:r>
        <w:rPr>
          <w:rFonts w:hint="eastAsia"/>
        </w:rPr>
        <w:t>当</w:t>
      </w:r>
      <w:r>
        <w:t>驾驶员驾驶</w:t>
      </w:r>
      <w:r>
        <w:rPr>
          <w:rFonts w:hint="eastAsia"/>
        </w:rPr>
        <w:t>行为</w:t>
      </w:r>
      <w:r>
        <w:t>监测系统</w:t>
      </w:r>
      <w:r>
        <w:rPr>
          <w:rFonts w:hint="eastAsia"/>
        </w:rPr>
        <w:t>、</w:t>
      </w:r>
      <w:r>
        <w:t>车辆</w:t>
      </w:r>
      <w:r>
        <w:rPr>
          <w:rFonts w:hint="eastAsia"/>
        </w:rPr>
        <w:t>运行</w:t>
      </w:r>
      <w:r>
        <w:t>监测系统</w:t>
      </w:r>
      <w:r>
        <w:rPr>
          <w:rFonts w:hint="eastAsia"/>
        </w:rPr>
        <w:t>的功能</w:t>
      </w:r>
      <w:r>
        <w:t>失效时，</w:t>
      </w:r>
      <w:r>
        <w:rPr>
          <w:rFonts w:hint="eastAsia"/>
        </w:rPr>
        <w:t>终端</w:t>
      </w:r>
      <w:r>
        <w:t>应具备</w:t>
      </w:r>
      <w:r>
        <w:rPr>
          <w:rFonts w:hint="eastAsia"/>
        </w:rPr>
        <w:t>功能失效</w:t>
      </w:r>
      <w:r>
        <w:t>提醒</w:t>
      </w:r>
      <w:r>
        <w:rPr>
          <w:rFonts w:hint="eastAsia"/>
        </w:rPr>
        <w:t>功能，</w:t>
      </w:r>
      <w:r>
        <w:t>可</w:t>
      </w:r>
      <w:r>
        <w:rPr>
          <w:rFonts w:hint="eastAsia"/>
        </w:rPr>
        <w:t>通过终端提示音</w:t>
      </w:r>
      <w:r>
        <w:t>及时提醒驾驶员</w:t>
      </w:r>
      <w:r>
        <w:rPr>
          <w:rFonts w:hint="eastAsia"/>
        </w:rPr>
        <w:t>当前功能</w:t>
      </w:r>
      <w:r>
        <w:t>异常失效，可通过</w:t>
      </w:r>
      <w:r>
        <w:rPr>
          <w:rFonts w:hint="eastAsia"/>
        </w:rPr>
        <w:t>上报至</w:t>
      </w:r>
      <w:r>
        <w:t>远程平台</w:t>
      </w:r>
      <w:r>
        <w:rPr>
          <w:rFonts w:hint="eastAsia"/>
        </w:rPr>
        <w:t>提醒</w:t>
      </w:r>
      <w:r>
        <w:t>运维人员设备功能当前处于失效状态。</w:t>
      </w:r>
    </w:p>
    <w:p>
      <w:pPr>
        <w:pStyle w:val="97"/>
      </w:pPr>
      <w:bookmarkStart w:id="614" w:name="_Toc17563781"/>
      <w:bookmarkStart w:id="615" w:name="_Toc17565884"/>
      <w:bookmarkStart w:id="616" w:name="_Toc17643139"/>
      <w:bookmarkStart w:id="617" w:name="_Toc17642836"/>
      <w:bookmarkStart w:id="618" w:name="_Toc18138069"/>
      <w:bookmarkStart w:id="619" w:name="_Toc18102104"/>
      <w:bookmarkStart w:id="620" w:name="_Toc17642992"/>
      <w:r>
        <w:rPr>
          <w:rFonts w:hint="eastAsia"/>
        </w:rPr>
        <w:t>性能</w:t>
      </w:r>
      <w:r>
        <w:t>要求</w:t>
      </w:r>
      <w:bookmarkEnd w:id="499"/>
      <w:bookmarkEnd w:id="500"/>
      <w:bookmarkEnd w:id="501"/>
      <w:bookmarkEnd w:id="502"/>
      <w:bookmarkEnd w:id="503"/>
      <w:bookmarkEnd w:id="614"/>
      <w:bookmarkEnd w:id="615"/>
      <w:bookmarkEnd w:id="616"/>
      <w:bookmarkEnd w:id="617"/>
      <w:bookmarkEnd w:id="618"/>
      <w:bookmarkEnd w:id="619"/>
      <w:bookmarkEnd w:id="620"/>
    </w:p>
    <w:p>
      <w:pPr>
        <w:pStyle w:val="64"/>
        <w:ind w:hanging="709" w:hangingChars="338"/>
      </w:pPr>
      <w:bookmarkStart w:id="621" w:name="_Toc17563782"/>
      <w:bookmarkStart w:id="622" w:name="_Toc17565885"/>
      <w:bookmarkStart w:id="623" w:name="_Toc17642837"/>
      <w:bookmarkStart w:id="624" w:name="_Toc4005_WPSOffice_Level1"/>
      <w:bookmarkStart w:id="625" w:name="_Toc17642993"/>
      <w:bookmarkStart w:id="626" w:name="_Toc18102105"/>
      <w:bookmarkStart w:id="627" w:name="_Toc13665074"/>
      <w:bookmarkStart w:id="628" w:name="_Toc20814_WPSOffice_Level1"/>
      <w:bookmarkStart w:id="629" w:name="_Toc17643140"/>
      <w:bookmarkStart w:id="630" w:name="_Toc31479"/>
      <w:bookmarkStart w:id="631" w:name="_Toc18138070"/>
      <w:r>
        <w:rPr>
          <w:rFonts w:hint="eastAsia"/>
        </w:rPr>
        <w:t>电气性能要求</w:t>
      </w:r>
      <w:bookmarkEnd w:id="621"/>
      <w:bookmarkEnd w:id="622"/>
      <w:bookmarkEnd w:id="623"/>
      <w:bookmarkEnd w:id="624"/>
      <w:bookmarkEnd w:id="625"/>
      <w:bookmarkEnd w:id="626"/>
      <w:bookmarkEnd w:id="627"/>
      <w:bookmarkEnd w:id="628"/>
      <w:bookmarkEnd w:id="629"/>
      <w:bookmarkEnd w:id="630"/>
      <w:bookmarkEnd w:id="631"/>
    </w:p>
    <w:p>
      <w:pPr>
        <w:pStyle w:val="27"/>
        <w:rPr>
          <w:rFonts w:hAnsi="宋体"/>
        </w:rPr>
      </w:pPr>
      <w:r>
        <w:rPr>
          <w:rFonts w:hint="eastAsia"/>
        </w:rPr>
        <w:t>终端及外设的电气性能应符合JT/T</w:t>
      </w:r>
      <w:r>
        <w:t xml:space="preserve"> 794</w:t>
      </w:r>
      <w:r>
        <w:rPr>
          <w:rFonts w:hint="eastAsia"/>
        </w:rPr>
        <w:t>-2011</w:t>
      </w:r>
      <w:r>
        <w:t>中</w:t>
      </w:r>
      <w:r>
        <w:rPr>
          <w:rFonts w:hint="eastAsia"/>
        </w:rPr>
        <w:t>6.4.1.1、6.4.1.2、6.4.1.3、6.4.1.4、6.4.1.6的规定。</w:t>
      </w:r>
    </w:p>
    <w:p>
      <w:pPr>
        <w:pStyle w:val="64"/>
        <w:ind w:hanging="709" w:hangingChars="338"/>
      </w:pPr>
      <w:bookmarkStart w:id="632" w:name="_Toc13665075"/>
      <w:bookmarkStart w:id="633" w:name="_Toc18102106"/>
      <w:bookmarkStart w:id="634" w:name="_Toc17565886"/>
      <w:bookmarkStart w:id="635" w:name="_Toc17642838"/>
      <w:bookmarkStart w:id="636" w:name="_Toc17563783"/>
      <w:bookmarkStart w:id="637" w:name="_Toc18138071"/>
      <w:bookmarkStart w:id="638" w:name="_Toc21655_WPSOffice_Level1"/>
      <w:bookmarkStart w:id="639" w:name="_Toc15492"/>
      <w:bookmarkStart w:id="640" w:name="_Toc17642994"/>
      <w:bookmarkStart w:id="641" w:name="_Toc17643141"/>
      <w:bookmarkStart w:id="642" w:name="_Toc29459_WPSOffice_Level1"/>
      <w:bookmarkStart w:id="643" w:name="_Toc496607996"/>
      <w:bookmarkStart w:id="644" w:name="_Toc496271864"/>
      <w:r>
        <w:t>环境适应性要求</w:t>
      </w:r>
      <w:bookmarkEnd w:id="632"/>
      <w:bookmarkEnd w:id="633"/>
      <w:bookmarkEnd w:id="634"/>
      <w:bookmarkEnd w:id="635"/>
      <w:bookmarkEnd w:id="636"/>
      <w:bookmarkEnd w:id="637"/>
      <w:bookmarkEnd w:id="638"/>
      <w:bookmarkEnd w:id="639"/>
      <w:bookmarkEnd w:id="640"/>
      <w:bookmarkEnd w:id="641"/>
      <w:bookmarkEnd w:id="642"/>
    </w:p>
    <w:p>
      <w:pPr>
        <w:pStyle w:val="27"/>
        <w:ind w:firstLine="0" w:firstLineChars="0"/>
        <w:rPr>
          <w:rFonts w:hint="eastAsia"/>
        </w:rPr>
      </w:pPr>
      <w:r>
        <w:rPr>
          <w:rFonts w:hint="eastAsia"/>
        </w:rPr>
        <w:t xml:space="preserve">6.2.1 </w:t>
      </w:r>
      <w:r>
        <w:t>终端及外设的环境适应性</w:t>
      </w:r>
      <w:r>
        <w:rPr>
          <w:rFonts w:hint="eastAsia"/>
        </w:rPr>
        <w:t>应能符合 GB/T19056-2012中章节5.8的规定；</w:t>
      </w:r>
    </w:p>
    <w:p>
      <w:pPr>
        <w:pStyle w:val="27"/>
        <w:ind w:firstLine="0" w:firstLineChars="0"/>
      </w:pPr>
      <w:r>
        <w:rPr>
          <w:rFonts w:hint="eastAsia"/>
        </w:rPr>
        <w:t>6.2.2 终端及外设的机械适应性能应符合 JT/T794-2011中6.5.2的规定。</w:t>
      </w:r>
    </w:p>
    <w:p>
      <w:pPr>
        <w:pStyle w:val="64"/>
        <w:ind w:hanging="709" w:hangingChars="338"/>
      </w:pPr>
      <w:bookmarkStart w:id="645" w:name="_Toc17643142"/>
      <w:bookmarkStart w:id="646" w:name="_Toc5080_WPSOffice_Level1"/>
      <w:bookmarkStart w:id="647" w:name="_Toc13665076"/>
      <w:bookmarkStart w:id="648" w:name="_Toc17565887"/>
      <w:bookmarkStart w:id="649" w:name="_Toc27622_WPSOffice_Level1"/>
      <w:bookmarkStart w:id="650" w:name="_Toc17563784"/>
      <w:bookmarkStart w:id="651" w:name="_Toc17642995"/>
      <w:bookmarkStart w:id="652" w:name="_Toc18138072"/>
      <w:bookmarkStart w:id="653" w:name="_Toc10272"/>
      <w:bookmarkStart w:id="654" w:name="_Toc18102107"/>
      <w:bookmarkStart w:id="655" w:name="_Toc17642839"/>
      <w:r>
        <w:t>电磁兼容性能要求</w:t>
      </w:r>
      <w:bookmarkEnd w:id="645"/>
      <w:bookmarkEnd w:id="646"/>
      <w:bookmarkEnd w:id="647"/>
      <w:bookmarkEnd w:id="648"/>
      <w:bookmarkEnd w:id="649"/>
      <w:bookmarkEnd w:id="650"/>
      <w:bookmarkEnd w:id="651"/>
      <w:bookmarkEnd w:id="652"/>
      <w:bookmarkEnd w:id="653"/>
      <w:bookmarkEnd w:id="654"/>
      <w:bookmarkEnd w:id="655"/>
    </w:p>
    <w:p>
      <w:pPr>
        <w:pStyle w:val="27"/>
      </w:pPr>
      <w:r>
        <w:t>终端及外设的电磁兼容性应符合</w:t>
      </w:r>
      <w:r>
        <w:rPr>
          <w:rFonts w:hint="eastAsia"/>
        </w:rPr>
        <w:t xml:space="preserve"> </w:t>
      </w:r>
      <w:r>
        <w:t>JT/T 794</w:t>
      </w:r>
      <w:r>
        <w:rPr>
          <w:rFonts w:hint="eastAsia"/>
        </w:rPr>
        <w:t xml:space="preserve">-2011 </w:t>
      </w:r>
      <w:r>
        <w:t>中</w:t>
      </w:r>
      <w:r>
        <w:rPr>
          <w:rFonts w:hint="eastAsia"/>
        </w:rPr>
        <w:t xml:space="preserve"> 6.6 和 GB/T 19056-2012中抗车辆点火干扰试验的规定。</w:t>
      </w:r>
    </w:p>
    <w:p>
      <w:pPr>
        <w:pStyle w:val="64"/>
        <w:ind w:hanging="709" w:hangingChars="338"/>
      </w:pPr>
      <w:bookmarkStart w:id="656" w:name="_Toc7208_WPSOffice_Level1"/>
      <w:bookmarkStart w:id="657" w:name="_Toc13665077"/>
      <w:bookmarkStart w:id="658" w:name="_Toc10831_WPSOffice_Level1"/>
      <w:bookmarkStart w:id="659" w:name="_Toc17642996"/>
      <w:bookmarkStart w:id="660" w:name="_Toc17563785"/>
      <w:bookmarkStart w:id="661" w:name="_Toc17565888"/>
      <w:bookmarkStart w:id="662" w:name="_Toc9010"/>
      <w:bookmarkStart w:id="663" w:name="_Toc18138073"/>
      <w:bookmarkStart w:id="664" w:name="_Toc17643143"/>
      <w:bookmarkStart w:id="665" w:name="_Toc18102108"/>
      <w:bookmarkStart w:id="666" w:name="_Toc17642840"/>
      <w:r>
        <w:rPr>
          <w:rFonts w:hint="eastAsia"/>
        </w:rPr>
        <w:t>无线通信</w:t>
      </w:r>
      <w:bookmarkEnd w:id="643"/>
      <w:bookmarkEnd w:id="644"/>
      <w:bookmarkEnd w:id="656"/>
      <w:bookmarkEnd w:id="657"/>
      <w:bookmarkEnd w:id="658"/>
      <w:r>
        <w:rPr>
          <w:rFonts w:hint="eastAsia"/>
        </w:rPr>
        <w:t>模块</w:t>
      </w:r>
      <w:bookmarkEnd w:id="659"/>
      <w:bookmarkEnd w:id="660"/>
      <w:bookmarkEnd w:id="661"/>
      <w:bookmarkEnd w:id="662"/>
      <w:bookmarkEnd w:id="663"/>
      <w:bookmarkEnd w:id="664"/>
      <w:bookmarkEnd w:id="665"/>
      <w:bookmarkEnd w:id="666"/>
    </w:p>
    <w:p>
      <w:pPr>
        <w:pStyle w:val="27"/>
      </w:pPr>
      <w:r>
        <w:rPr>
          <w:rFonts w:hint="eastAsia"/>
        </w:rPr>
        <w:t>符合 JT/T794-2011标准 6.3.2、6.3.3、6.3.4 要求，还应支持基于通用 GSM、CDMA、TD-SCDMA、WCDMA、CDMA2000、TDD-LTE、FDD-LTE 或其他无线通信网络传输机制下的通信模式一种或者多种。</w:t>
      </w:r>
    </w:p>
    <w:p>
      <w:pPr>
        <w:pStyle w:val="64"/>
        <w:ind w:hanging="709" w:hangingChars="338"/>
      </w:pPr>
      <w:bookmarkStart w:id="667" w:name="_Toc496271867"/>
      <w:bookmarkStart w:id="668" w:name="_Toc17643144"/>
      <w:bookmarkStart w:id="669" w:name="_Toc496607999"/>
      <w:bookmarkStart w:id="670" w:name="_Toc29662_WPSOffice_Level1"/>
      <w:bookmarkStart w:id="671" w:name="_Toc18102109"/>
      <w:bookmarkStart w:id="672" w:name="_Toc5511_WPSOffice_Level1"/>
      <w:bookmarkStart w:id="673" w:name="_Toc17565889"/>
      <w:bookmarkStart w:id="674" w:name="_Toc17642997"/>
      <w:bookmarkStart w:id="675" w:name="_Toc17642841"/>
      <w:bookmarkStart w:id="676" w:name="_Toc18138074"/>
      <w:bookmarkStart w:id="677" w:name="_Toc13665080"/>
      <w:bookmarkStart w:id="678" w:name="_Toc18047"/>
      <w:bookmarkStart w:id="679" w:name="_Toc17563786"/>
      <w:r>
        <w:rPr>
          <w:rFonts w:hint="eastAsia"/>
        </w:rPr>
        <w:t>电源输出</w:t>
      </w:r>
      <w:bookmarkEnd w:id="667"/>
      <w:bookmarkEnd w:id="668"/>
      <w:bookmarkEnd w:id="669"/>
      <w:bookmarkEnd w:id="670"/>
      <w:bookmarkEnd w:id="671"/>
      <w:bookmarkEnd w:id="672"/>
      <w:bookmarkEnd w:id="673"/>
      <w:bookmarkEnd w:id="674"/>
      <w:bookmarkEnd w:id="675"/>
      <w:bookmarkEnd w:id="676"/>
      <w:bookmarkEnd w:id="677"/>
      <w:bookmarkEnd w:id="678"/>
      <w:bookmarkEnd w:id="679"/>
    </w:p>
    <w:p>
      <w:pPr>
        <w:pStyle w:val="27"/>
      </w:pPr>
      <w:r>
        <w:rPr>
          <w:rFonts w:hint="eastAsia"/>
        </w:rPr>
        <w:t>终端</w:t>
      </w:r>
      <w:r>
        <w:t>及外设</w:t>
      </w:r>
      <w:r>
        <w:rPr>
          <w:rFonts w:hint="eastAsia"/>
        </w:rPr>
        <w:t>提供的电源输出应满足以下要求：</w:t>
      </w:r>
    </w:p>
    <w:p>
      <w:pPr>
        <w:pStyle w:val="151"/>
        <w:numPr>
          <w:ilvl w:val="0"/>
          <w:numId w:val="0"/>
        </w:numPr>
        <w:ind w:firstLine="420" w:firstLineChars="200"/>
        <w:rPr>
          <w:rFonts w:hint="eastAsia"/>
        </w:rPr>
      </w:pPr>
      <w:r>
        <w:rPr>
          <w:rFonts w:hint="eastAsia"/>
        </w:rPr>
        <w:t>a）5V电源输出：+5V（±5%），电流≥1A；</w:t>
      </w:r>
    </w:p>
    <w:p>
      <w:pPr>
        <w:pStyle w:val="151"/>
        <w:numPr>
          <w:ilvl w:val="0"/>
          <w:numId w:val="0"/>
        </w:numPr>
        <w:ind w:firstLine="420" w:firstLineChars="200"/>
        <w:rPr>
          <w:rFonts w:hint="eastAsia"/>
        </w:rPr>
      </w:pPr>
      <w:r>
        <w:rPr>
          <w:rFonts w:hint="eastAsia"/>
        </w:rPr>
        <w:t>b）12V电源输出：+12V（±5%），电流≥0.5A；</w:t>
      </w:r>
    </w:p>
    <w:p>
      <w:pPr>
        <w:pStyle w:val="151"/>
        <w:numPr>
          <w:ilvl w:val="0"/>
          <w:numId w:val="0"/>
        </w:numPr>
        <w:ind w:firstLine="420" w:firstLineChars="200"/>
      </w:pPr>
      <w:r>
        <w:rPr>
          <w:rFonts w:hint="eastAsia"/>
        </w:rPr>
        <w:t>c）终端的主电源为车辆电源，终端内应具有备用可充电电池，当终端失去主电源后，备用电池工作时间不少于10分钟，备用电池工作时间应足够向监控中心报警或传输必要的数据。</w:t>
      </w:r>
    </w:p>
    <w:p>
      <w:pPr>
        <w:pStyle w:val="64"/>
        <w:ind w:hanging="709" w:hangingChars="338"/>
      </w:pPr>
      <w:bookmarkStart w:id="680" w:name="_Toc496271868"/>
      <w:bookmarkStart w:id="681" w:name="_Toc17643145"/>
      <w:bookmarkStart w:id="682" w:name="_Toc27387"/>
      <w:bookmarkStart w:id="683" w:name="_Toc17642842"/>
      <w:bookmarkStart w:id="684" w:name="_Toc17642998"/>
      <w:bookmarkStart w:id="685" w:name="_Toc18102110"/>
      <w:bookmarkStart w:id="686" w:name="_Toc31925_WPSOffice_Level1"/>
      <w:bookmarkStart w:id="687" w:name="_Toc13665081"/>
      <w:bookmarkStart w:id="688" w:name="_Toc18138075"/>
      <w:bookmarkStart w:id="689" w:name="_Toc13797_WPSOffice_Level1"/>
      <w:bookmarkStart w:id="690" w:name="_Toc496608000"/>
      <w:bookmarkStart w:id="691" w:name="_Toc17563787"/>
      <w:bookmarkStart w:id="692" w:name="_Toc17565890"/>
      <w:r>
        <w:t>电</w:t>
      </w:r>
      <w:r>
        <w:rPr>
          <w:rFonts w:hint="eastAsia"/>
        </w:rPr>
        <w:t>气</w:t>
      </w:r>
      <w:r>
        <w:t>性能</w:t>
      </w:r>
      <w:bookmarkEnd w:id="680"/>
      <w:bookmarkEnd w:id="681"/>
      <w:bookmarkEnd w:id="682"/>
      <w:bookmarkEnd w:id="683"/>
      <w:bookmarkEnd w:id="684"/>
      <w:bookmarkEnd w:id="685"/>
      <w:bookmarkEnd w:id="686"/>
      <w:bookmarkEnd w:id="687"/>
      <w:bookmarkEnd w:id="688"/>
      <w:bookmarkEnd w:id="689"/>
      <w:bookmarkEnd w:id="690"/>
      <w:bookmarkEnd w:id="691"/>
      <w:bookmarkEnd w:id="692"/>
    </w:p>
    <w:p>
      <w:pPr>
        <w:pStyle w:val="27"/>
      </w:pPr>
      <w:r>
        <w:t>终端运行功率等电</w:t>
      </w:r>
      <w:r>
        <w:rPr>
          <w:rFonts w:hint="eastAsia"/>
        </w:rPr>
        <w:t>气</w:t>
      </w:r>
      <w:r>
        <w:t>性能应满足JT/T 794</w:t>
      </w:r>
      <w:r>
        <w:rPr>
          <w:rFonts w:hint="eastAsia"/>
        </w:rPr>
        <w:t>-2011</w:t>
      </w:r>
      <w:r>
        <w:t>标准</w:t>
      </w:r>
      <w:r>
        <w:rPr>
          <w:rFonts w:hint="eastAsia"/>
        </w:rPr>
        <w:t>6.4</w:t>
      </w:r>
      <w:r>
        <w:t>的要求，</w:t>
      </w:r>
      <w:r>
        <w:rPr>
          <w:rFonts w:hint="eastAsia"/>
        </w:rPr>
        <w:t>主机接口输入应满足以下要求：</w:t>
      </w:r>
    </w:p>
    <w:p>
      <w:pPr>
        <w:pStyle w:val="151"/>
        <w:numPr>
          <w:ilvl w:val="0"/>
          <w:numId w:val="0"/>
        </w:numPr>
        <w:ind w:firstLine="420" w:firstLineChars="200"/>
        <w:rPr>
          <w:rFonts w:hint="eastAsia"/>
        </w:rPr>
      </w:pPr>
      <w:r>
        <w:rPr>
          <w:rFonts w:hint="eastAsia"/>
        </w:rPr>
        <w:t>a）高电平输入值适应范围：</w:t>
      </w:r>
      <w:r>
        <w:t>5</w:t>
      </w:r>
      <w:r>
        <w:rPr>
          <w:rFonts w:hint="eastAsia"/>
        </w:rPr>
        <w:t>～36v；</w:t>
      </w:r>
    </w:p>
    <w:p>
      <w:pPr>
        <w:pStyle w:val="151"/>
        <w:numPr>
          <w:ilvl w:val="0"/>
          <w:numId w:val="0"/>
        </w:numPr>
        <w:ind w:firstLine="420" w:firstLineChars="200"/>
        <w:rPr>
          <w:rFonts w:hint="eastAsia"/>
        </w:rPr>
      </w:pPr>
      <w:r>
        <w:rPr>
          <w:rFonts w:hint="eastAsia"/>
        </w:rPr>
        <w:t>b）低电平输入值适应范围：0～2V；</w:t>
      </w:r>
    </w:p>
    <w:p>
      <w:pPr>
        <w:pStyle w:val="151"/>
        <w:numPr>
          <w:ilvl w:val="0"/>
          <w:numId w:val="0"/>
        </w:numPr>
        <w:ind w:firstLine="420" w:firstLineChars="200"/>
        <w:rPr>
          <w:rFonts w:hint="eastAsia"/>
        </w:rPr>
      </w:pPr>
      <w:r>
        <w:rPr>
          <w:rFonts w:hint="eastAsia"/>
        </w:rPr>
        <w:t>c）有报警时输出低电平小于0.7V；</w:t>
      </w:r>
    </w:p>
    <w:p>
      <w:pPr>
        <w:pStyle w:val="151"/>
        <w:numPr>
          <w:ilvl w:val="0"/>
          <w:numId w:val="0"/>
        </w:numPr>
        <w:ind w:firstLine="420" w:firstLineChars="200"/>
      </w:pPr>
      <w:r>
        <w:rPr>
          <w:rFonts w:hint="eastAsia"/>
        </w:rPr>
        <w:t>d）其它接口符合GB/T 19056</w:t>
      </w:r>
      <w:r>
        <w:t>-2012</w:t>
      </w:r>
      <w:r>
        <w:rPr>
          <w:rFonts w:hint="eastAsia"/>
        </w:rPr>
        <w:t>标准中4.2.2的要求。</w:t>
      </w:r>
    </w:p>
    <w:p>
      <w:pPr>
        <w:pStyle w:val="64"/>
        <w:ind w:hanging="709" w:hangingChars="338"/>
      </w:pPr>
      <w:bookmarkStart w:id="693" w:name="_Toc10621"/>
      <w:bookmarkStart w:id="694" w:name="_Toc18102111"/>
      <w:bookmarkStart w:id="695" w:name="_Toc17643146"/>
      <w:bookmarkStart w:id="696" w:name="_Toc24475_WPSOffice_Level1"/>
      <w:bookmarkStart w:id="697" w:name="_Toc2049_WPSOffice_Level1"/>
      <w:bookmarkStart w:id="698" w:name="_Toc496271870"/>
      <w:bookmarkStart w:id="699" w:name="_Toc496608002"/>
      <w:bookmarkStart w:id="700" w:name="_Toc13665083"/>
      <w:bookmarkStart w:id="701" w:name="_Toc17642999"/>
      <w:bookmarkStart w:id="702" w:name="_Toc17563788"/>
      <w:bookmarkStart w:id="703" w:name="_Toc18138076"/>
      <w:bookmarkStart w:id="704" w:name="_Toc17565891"/>
      <w:bookmarkStart w:id="705" w:name="_Toc17642843"/>
      <w:r>
        <w:rPr>
          <w:rFonts w:hint="eastAsia"/>
        </w:rPr>
        <w:t>振动和冲击</w:t>
      </w:r>
      <w:bookmarkEnd w:id="693"/>
      <w:bookmarkEnd w:id="694"/>
      <w:bookmarkEnd w:id="695"/>
      <w:bookmarkEnd w:id="696"/>
      <w:bookmarkEnd w:id="697"/>
      <w:bookmarkEnd w:id="698"/>
      <w:bookmarkEnd w:id="699"/>
      <w:bookmarkEnd w:id="700"/>
      <w:bookmarkEnd w:id="701"/>
      <w:bookmarkEnd w:id="702"/>
      <w:bookmarkEnd w:id="703"/>
      <w:bookmarkEnd w:id="704"/>
      <w:bookmarkEnd w:id="705"/>
    </w:p>
    <w:p>
      <w:pPr>
        <w:pStyle w:val="151"/>
        <w:rPr>
          <w:rFonts w:hint="eastAsia"/>
        </w:rPr>
      </w:pPr>
      <w:r>
        <w:rPr>
          <w:rFonts w:hint="eastAsia"/>
        </w:rPr>
        <w:t>终端在承受振动试验、冲击试验等机械环境试验后，应无永久性结构变形、无零部件损坏，无电气故障，无紧固部件松脱现象，无插头、通信接口等插器脱落或接触不良等现象，其各项功能应保持正常，无试验前存储的信息丢失现象。</w:t>
      </w:r>
    </w:p>
    <w:p>
      <w:pPr>
        <w:pStyle w:val="151"/>
      </w:pPr>
      <w:r>
        <w:rPr>
          <w:rFonts w:hint="eastAsia"/>
        </w:rPr>
        <w:t>振动试验条件应符合JT/T 794-2011标准6.5.2.2要求，冲击试验条件应符合JT/T 794-2011标准6.5.</w:t>
      </w:r>
      <w:r>
        <w:t>2</w:t>
      </w:r>
      <w:r>
        <w:rPr>
          <w:rFonts w:hint="eastAsia"/>
        </w:rPr>
        <w:t>.3要求。</w:t>
      </w:r>
    </w:p>
    <w:p>
      <w:pPr>
        <w:pStyle w:val="64"/>
        <w:ind w:hanging="709" w:hangingChars="338"/>
      </w:pPr>
      <w:bookmarkStart w:id="706" w:name="_Toc30978"/>
      <w:bookmarkStart w:id="707" w:name="_Toc17565892"/>
      <w:bookmarkStart w:id="708" w:name="_Toc17642844"/>
      <w:bookmarkStart w:id="709" w:name="_Toc18138077"/>
      <w:bookmarkStart w:id="710" w:name="_Toc15041_WPSOffice_Level1"/>
      <w:bookmarkStart w:id="711" w:name="_Toc18102112"/>
      <w:bookmarkStart w:id="712" w:name="_Toc17643147"/>
      <w:bookmarkStart w:id="713" w:name="_Toc17563789"/>
      <w:bookmarkStart w:id="714" w:name="_Toc496608003"/>
      <w:bookmarkStart w:id="715" w:name="_Toc496271871"/>
      <w:bookmarkStart w:id="716" w:name="_Toc17643000"/>
      <w:bookmarkStart w:id="717" w:name="_Toc25523_WPSOffice_Level1"/>
      <w:bookmarkStart w:id="718" w:name="_Toc13665084"/>
      <w:r>
        <w:rPr>
          <w:rFonts w:hint="eastAsia"/>
        </w:rPr>
        <w:t>报警</w:t>
      </w:r>
      <w:bookmarkEnd w:id="706"/>
      <w:bookmarkEnd w:id="707"/>
      <w:bookmarkEnd w:id="708"/>
      <w:bookmarkEnd w:id="709"/>
      <w:bookmarkEnd w:id="710"/>
      <w:bookmarkEnd w:id="711"/>
      <w:bookmarkEnd w:id="712"/>
      <w:bookmarkEnd w:id="713"/>
      <w:bookmarkEnd w:id="714"/>
      <w:bookmarkEnd w:id="715"/>
      <w:bookmarkEnd w:id="716"/>
      <w:bookmarkEnd w:id="717"/>
      <w:bookmarkEnd w:id="718"/>
    </w:p>
    <w:p>
      <w:pPr>
        <w:pStyle w:val="151"/>
      </w:pPr>
      <w:r>
        <w:rPr>
          <w:rFonts w:hint="eastAsia"/>
        </w:rPr>
        <w:t>视觉报警</w:t>
      </w:r>
      <w:r>
        <w:t>设备应可以通过</w:t>
      </w:r>
      <w:r>
        <w:rPr>
          <w:rFonts w:hint="eastAsia"/>
        </w:rPr>
        <w:t>不同</w:t>
      </w:r>
      <w:r>
        <w:t>显示方式</w:t>
      </w:r>
      <w:r>
        <w:rPr>
          <w:rFonts w:hint="eastAsia"/>
        </w:rPr>
        <w:t>表示不同</w:t>
      </w:r>
      <w:r>
        <w:t>报警类型及</w:t>
      </w:r>
      <w:r>
        <w:rPr>
          <w:rFonts w:hint="eastAsia"/>
        </w:rPr>
        <w:t>等级</w:t>
      </w:r>
      <w:r>
        <w:t>，</w:t>
      </w:r>
      <w:r>
        <w:rPr>
          <w:rFonts w:hint="eastAsia"/>
        </w:rPr>
        <w:t>方式</w:t>
      </w:r>
      <w:r>
        <w:t>包括且不限于不同</w:t>
      </w:r>
      <w:r>
        <w:rPr>
          <w:rFonts w:hint="eastAsia"/>
        </w:rPr>
        <w:t>颜色</w:t>
      </w:r>
      <w:r>
        <w:t>、频率及图</w:t>
      </w:r>
      <w:r>
        <w:rPr>
          <w:rFonts w:hint="eastAsia"/>
        </w:rPr>
        <w:t>标</w:t>
      </w:r>
      <w:r>
        <w:t>等。</w:t>
      </w:r>
      <w:r>
        <w:rPr>
          <w:rFonts w:hint="eastAsia"/>
        </w:rPr>
        <w:t>其</w:t>
      </w:r>
      <w:r>
        <w:t>设备</w:t>
      </w:r>
      <w:r>
        <w:rPr>
          <w:rFonts w:hint="eastAsia"/>
        </w:rPr>
        <w:t>视角</w:t>
      </w:r>
      <w:r>
        <w:t>应不小于100</w:t>
      </w:r>
      <w:r>
        <w:rPr>
          <w:rFonts w:hint="eastAsia"/>
        </w:rPr>
        <w:t>°</w:t>
      </w:r>
      <w:r>
        <w:t>。</w:t>
      </w:r>
    </w:p>
    <w:p>
      <w:pPr>
        <w:pStyle w:val="151"/>
      </w:pPr>
      <w:r>
        <w:t>听觉报警设备应可以通过不同声音方式表示不同报警类型</w:t>
      </w:r>
      <w:r>
        <w:rPr>
          <w:rFonts w:hint="eastAsia"/>
        </w:rPr>
        <w:t>及</w:t>
      </w:r>
      <w:r>
        <w:t>等级，</w:t>
      </w:r>
      <w:r>
        <w:rPr>
          <w:rFonts w:hint="eastAsia"/>
        </w:rPr>
        <w:t>方式</w:t>
      </w:r>
      <w:r>
        <w:t>包括且不限于不同分贝、</w:t>
      </w:r>
      <w:r>
        <w:rPr>
          <w:rFonts w:hint="eastAsia"/>
        </w:rPr>
        <w:t>不同</w:t>
      </w:r>
      <w:r>
        <w:t>频率等。一级报警使用语音提示</w:t>
      </w:r>
      <w:r>
        <w:rPr>
          <w:rFonts w:hint="eastAsia"/>
        </w:rPr>
        <w:t>，</w:t>
      </w:r>
      <w:r>
        <w:t>二级报警使用报警音提示，</w:t>
      </w:r>
      <w:r>
        <w:rPr>
          <w:rFonts w:hint="eastAsia"/>
        </w:rPr>
        <w:t>每类</w:t>
      </w:r>
      <w:r>
        <w:t>报警应具备其独</w:t>
      </w:r>
      <w:r>
        <w:rPr>
          <w:rFonts w:hint="eastAsia"/>
        </w:rPr>
        <w:t>特</w:t>
      </w:r>
      <w:r>
        <w:t>的报警音，</w:t>
      </w:r>
      <w:r>
        <w:rPr>
          <w:rFonts w:hint="eastAsia"/>
        </w:rPr>
        <w:t>不同</w:t>
      </w:r>
      <w:r>
        <w:t>报警类型之间的报警音应易于区分</w:t>
      </w:r>
      <w:r>
        <w:rPr>
          <w:rFonts w:hint="eastAsia"/>
        </w:rPr>
        <w:t>。</w:t>
      </w:r>
      <w:r>
        <w:t>报警声音</w:t>
      </w:r>
      <w:r>
        <w:rPr>
          <w:rFonts w:hint="eastAsia"/>
        </w:rPr>
        <w:t>SPL（</w:t>
      </w:r>
      <w:r>
        <w:t>sound pressure level</w:t>
      </w:r>
      <w:r>
        <w:rPr>
          <w:rFonts w:hint="eastAsia"/>
        </w:rPr>
        <w:t>）</w:t>
      </w:r>
      <w:r>
        <w:t>最大不可超过</w:t>
      </w:r>
      <w:r>
        <w:rPr>
          <w:rFonts w:hint="eastAsia"/>
        </w:rPr>
        <w:t>86dB@</w:t>
      </w:r>
      <w:r>
        <w:t>10cm</w:t>
      </w:r>
      <w:r>
        <w:rPr>
          <w:rFonts w:hint="eastAsia"/>
        </w:rPr>
        <w:t>。</w:t>
      </w:r>
      <w:r>
        <w:t>终端应具备修改视觉报警和听觉报警的报警提示内容或提示方式的功能</w:t>
      </w:r>
      <w:r>
        <w:rPr>
          <w:rFonts w:hint="eastAsia"/>
        </w:rPr>
        <w:t>。</w:t>
      </w:r>
    </w:p>
    <w:p>
      <w:pPr>
        <w:pStyle w:val="151"/>
        <w:rPr>
          <w:rFonts w:hint="eastAsia"/>
        </w:rPr>
      </w:pPr>
      <w:r>
        <w:rPr>
          <w:rFonts w:hint="eastAsia"/>
        </w:rPr>
        <w:t>终端</w:t>
      </w:r>
      <w:r>
        <w:t>需具备连接触觉报警设备的接口</w:t>
      </w:r>
      <w:r>
        <w:rPr>
          <w:rFonts w:hint="eastAsia"/>
        </w:rPr>
        <w:t>。</w:t>
      </w:r>
    </w:p>
    <w:p>
      <w:pPr>
        <w:pStyle w:val="97"/>
      </w:pPr>
      <w:bookmarkStart w:id="719" w:name="_Toc17563790"/>
      <w:bookmarkStart w:id="720" w:name="_Toc6323_WPSOffice_Level1"/>
      <w:bookmarkStart w:id="721" w:name="_Toc17643001"/>
      <w:bookmarkStart w:id="722" w:name="_Toc13665085"/>
      <w:bookmarkStart w:id="723" w:name="_Toc17642845"/>
      <w:bookmarkStart w:id="724" w:name="_Toc245_WPSOffice_Level1"/>
      <w:bookmarkStart w:id="725" w:name="_Toc17643148"/>
      <w:bookmarkStart w:id="726" w:name="_Toc18102113"/>
      <w:bookmarkStart w:id="727" w:name="_Toc13658928"/>
      <w:bookmarkStart w:id="728" w:name="_Toc17565893"/>
      <w:bookmarkStart w:id="729" w:name="_Toc18138078"/>
      <w:bookmarkStart w:id="730" w:name="_Toc31876"/>
      <w:bookmarkStart w:id="731" w:name="_Toc498602049"/>
      <w:r>
        <w:rPr>
          <w:rFonts w:hint="eastAsia"/>
        </w:rPr>
        <w:t>安装要求</w:t>
      </w:r>
      <w:bookmarkEnd w:id="719"/>
      <w:bookmarkEnd w:id="720"/>
      <w:bookmarkEnd w:id="721"/>
      <w:bookmarkEnd w:id="722"/>
      <w:bookmarkEnd w:id="723"/>
      <w:bookmarkEnd w:id="724"/>
      <w:bookmarkEnd w:id="725"/>
      <w:bookmarkEnd w:id="726"/>
      <w:bookmarkEnd w:id="727"/>
      <w:bookmarkEnd w:id="728"/>
      <w:bookmarkEnd w:id="729"/>
      <w:bookmarkEnd w:id="730"/>
      <w:bookmarkEnd w:id="731"/>
      <w:bookmarkStart w:id="732" w:name="_Toc484783328"/>
    </w:p>
    <w:p>
      <w:pPr>
        <w:pStyle w:val="64"/>
        <w:ind w:hanging="709" w:hangingChars="338"/>
      </w:pPr>
      <w:bookmarkStart w:id="733" w:name="_Toc8768"/>
      <w:bookmarkStart w:id="734" w:name="_Toc17565894"/>
      <w:bookmarkStart w:id="735" w:name="_Toc17643002"/>
      <w:bookmarkStart w:id="736" w:name="_Toc13665086"/>
      <w:bookmarkStart w:id="737" w:name="_Toc17643149"/>
      <w:bookmarkStart w:id="738" w:name="_Toc18138079"/>
      <w:bookmarkStart w:id="739" w:name="_Toc496271876"/>
      <w:bookmarkStart w:id="740" w:name="_Toc18102114"/>
      <w:bookmarkStart w:id="741" w:name="_Toc17642846"/>
      <w:bookmarkStart w:id="742" w:name="_Toc11974_WPSOffice_Level1"/>
      <w:bookmarkStart w:id="743" w:name="_Toc17563791"/>
      <w:bookmarkStart w:id="744" w:name="_Toc496608008"/>
      <w:bookmarkStart w:id="745" w:name="_Toc21298_WPSOffice_Level1"/>
      <w:r>
        <w:rPr>
          <w:rFonts w:hint="eastAsia"/>
        </w:rPr>
        <w:t>总体要求</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pPr>
        <w:pStyle w:val="151"/>
        <w:numPr>
          <w:ilvl w:val="0"/>
          <w:numId w:val="0"/>
        </w:numPr>
        <w:ind w:firstLine="420" w:firstLineChars="200"/>
      </w:pPr>
      <w:r>
        <w:rPr>
          <w:rFonts w:hint="eastAsia"/>
        </w:rPr>
        <w:t>终端安装应避免改变车辆本身的电气结构与布线，不应出现终端的安装而产生车辆安全隐患。产品说明书上对其安装和维护有特殊要求规定，应遵守其规定。对于在用车辆，由终端设备安装服务商与用户共同设计、决定终端安装方式，应不影响汽车的结构强度、电气安全性能。</w:t>
      </w:r>
      <w:bookmarkStart w:id="746" w:name="_Toc484783329"/>
    </w:p>
    <w:p>
      <w:pPr>
        <w:pStyle w:val="64"/>
        <w:ind w:hanging="709" w:hangingChars="338"/>
      </w:pPr>
      <w:bookmarkStart w:id="747" w:name="_Toc17565895"/>
      <w:bookmarkStart w:id="748" w:name="_Toc18138080"/>
      <w:bookmarkStart w:id="749" w:name="_Toc13665087"/>
      <w:bookmarkStart w:id="750" w:name="_Toc496271877"/>
      <w:bookmarkStart w:id="751" w:name="_Toc8835_WPSOffice_Level1"/>
      <w:bookmarkStart w:id="752" w:name="_Toc17563792"/>
      <w:bookmarkStart w:id="753" w:name="_Toc19698"/>
      <w:bookmarkStart w:id="754" w:name="_Toc17643003"/>
      <w:bookmarkStart w:id="755" w:name="_Toc27998_WPSOffice_Level1"/>
      <w:bookmarkStart w:id="756" w:name="_Toc17642847"/>
      <w:bookmarkStart w:id="757" w:name="_Toc17643150"/>
      <w:bookmarkStart w:id="758" w:name="_Toc496608009"/>
      <w:bookmarkStart w:id="759" w:name="_Toc18102115"/>
      <w:r>
        <w:rPr>
          <w:rFonts w:hint="eastAsia"/>
        </w:rPr>
        <w:t>智能视频监控报警装置</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pPr>
        <w:pStyle w:val="151"/>
        <w:numPr>
          <w:ilvl w:val="0"/>
          <w:numId w:val="0"/>
        </w:numPr>
        <w:ind w:firstLine="420" w:firstLineChars="200"/>
      </w:pPr>
      <w:r>
        <w:rPr>
          <w:rFonts w:hint="eastAsia"/>
        </w:rPr>
        <w:t>设备安全应根据车辆实际情况和设备工作条件选择合适的安装位置，设备严禁安装在发动机附近，应远离碰撞、过热、阳光直射、废气、水、油和灰尘的位置。</w:t>
      </w:r>
      <w:bookmarkStart w:id="760" w:name="_Toc484783336"/>
      <w:r>
        <w:rPr>
          <w:rFonts w:hint="eastAsia"/>
        </w:rPr>
        <w:t>如需要安装外设，则安装完成后应确保外设与主机之间通讯正常，且连接稳定。</w:t>
      </w:r>
    </w:p>
    <w:p>
      <w:pPr>
        <w:pStyle w:val="64"/>
        <w:ind w:hanging="709" w:hangingChars="338"/>
      </w:pPr>
      <w:bookmarkStart w:id="761" w:name="_Toc17563793"/>
      <w:bookmarkStart w:id="762" w:name="_Toc17565896"/>
      <w:bookmarkStart w:id="763" w:name="_Toc17642848"/>
      <w:bookmarkStart w:id="764" w:name="_Toc13083"/>
      <w:bookmarkStart w:id="765" w:name="_Toc18102116"/>
      <w:bookmarkStart w:id="766" w:name="_Toc13665088"/>
      <w:bookmarkStart w:id="767" w:name="_Toc11741_WPSOffice_Level1"/>
      <w:bookmarkStart w:id="768" w:name="_Toc18138081"/>
      <w:bookmarkStart w:id="769" w:name="_Toc496608011"/>
      <w:bookmarkStart w:id="770" w:name="_Toc26077_WPSOffice_Level1"/>
      <w:bookmarkStart w:id="771" w:name="_Toc17643151"/>
      <w:bookmarkStart w:id="772" w:name="_Toc17643004"/>
      <w:bookmarkStart w:id="773" w:name="_Toc496271879"/>
      <w:r>
        <w:rPr>
          <w:rFonts w:hint="eastAsia"/>
        </w:rPr>
        <w:t>安装布线</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Start w:id="774" w:name="_Toc484783337"/>
    </w:p>
    <w:p>
      <w:pPr>
        <w:pStyle w:val="63"/>
        <w:spacing w:before="156" w:after="156"/>
      </w:pPr>
      <w:bookmarkStart w:id="775" w:name="_Toc17642849"/>
      <w:bookmarkStart w:id="776" w:name="_Toc17643005"/>
      <w:bookmarkStart w:id="777" w:name="_Toc13660682"/>
      <w:bookmarkStart w:id="778" w:name="_Toc24596"/>
      <w:bookmarkStart w:id="779" w:name="_Toc13665089"/>
      <w:bookmarkStart w:id="780" w:name="_Toc17643152"/>
      <w:r>
        <w:rPr>
          <w:rFonts w:hint="eastAsia"/>
        </w:rPr>
        <w:t>取电原则</w:t>
      </w:r>
      <w:bookmarkEnd w:id="774"/>
      <w:bookmarkEnd w:id="775"/>
      <w:bookmarkEnd w:id="776"/>
      <w:bookmarkEnd w:id="777"/>
      <w:bookmarkEnd w:id="778"/>
      <w:bookmarkEnd w:id="779"/>
      <w:bookmarkEnd w:id="780"/>
    </w:p>
    <w:p>
      <w:pPr>
        <w:pStyle w:val="125"/>
        <w:tabs>
          <w:tab w:val="center" w:pos="4201"/>
          <w:tab w:val="right" w:leader="dot" w:pos="9298"/>
        </w:tabs>
        <w:ind w:firstLine="420" w:firstLineChars="200"/>
      </w:pPr>
      <w:r>
        <w:rPr>
          <w:rFonts w:hint="eastAsia"/>
        </w:rPr>
        <w:t>参照JT</w:t>
      </w:r>
      <w:r>
        <w:t>/</w:t>
      </w:r>
      <w:r>
        <w:rPr>
          <w:rFonts w:hint="eastAsia"/>
        </w:rPr>
        <w:t>T 794-2011</w:t>
      </w:r>
      <w:r>
        <w:t>标准</w:t>
      </w:r>
      <w:r>
        <w:rPr>
          <w:rFonts w:hint="eastAsia"/>
        </w:rPr>
        <w:t>7.4的要求，车辆常火线取电在ACC之前，不受仪表台上所有开关控制，按终端负载要求，应在主电源上取电。控火线受ACC开关控制，在车辆的主搭铁线上取电。</w:t>
      </w:r>
      <w:bookmarkStart w:id="781" w:name="_Toc484783338"/>
    </w:p>
    <w:p>
      <w:pPr>
        <w:pStyle w:val="63"/>
        <w:spacing w:before="156" w:after="156"/>
      </w:pPr>
      <w:bookmarkStart w:id="782" w:name="_Toc17643006"/>
      <w:bookmarkStart w:id="783" w:name="_Toc17643153"/>
      <w:bookmarkStart w:id="784" w:name="_Toc17469"/>
      <w:bookmarkStart w:id="785" w:name="_Toc13660683"/>
      <w:bookmarkStart w:id="786" w:name="_Toc13665090"/>
      <w:bookmarkStart w:id="787" w:name="_Toc17642850"/>
      <w:r>
        <w:rPr>
          <w:rFonts w:hint="eastAsia"/>
        </w:rPr>
        <w:t>布线原则</w:t>
      </w:r>
      <w:bookmarkEnd w:id="781"/>
      <w:bookmarkEnd w:id="782"/>
      <w:bookmarkEnd w:id="783"/>
      <w:bookmarkEnd w:id="784"/>
      <w:bookmarkEnd w:id="785"/>
      <w:bookmarkEnd w:id="786"/>
      <w:bookmarkEnd w:id="787"/>
    </w:p>
    <w:p>
      <w:pPr>
        <w:pStyle w:val="125"/>
        <w:tabs>
          <w:tab w:val="center" w:pos="4201"/>
          <w:tab w:val="right" w:leader="dot" w:pos="9298"/>
        </w:tabs>
      </w:pPr>
      <w:r>
        <w:rPr>
          <w:rFonts w:hint="eastAsia" w:ascii="黑体" w:hAnsi="黑体" w:eastAsia="黑体"/>
        </w:rPr>
        <w:t>7.3.2.1</w:t>
      </w:r>
      <w:r>
        <w:rPr>
          <w:rFonts w:hint="eastAsia"/>
        </w:rPr>
        <w:t>布线应和原车线路一致并固定做到整套线路布置整洁和隐蔽。</w:t>
      </w:r>
    </w:p>
    <w:p>
      <w:pPr>
        <w:pStyle w:val="125"/>
        <w:tabs>
          <w:tab w:val="center" w:pos="4201"/>
          <w:tab w:val="right" w:leader="dot" w:pos="9298"/>
        </w:tabs>
      </w:pPr>
      <w:r>
        <w:rPr>
          <w:rFonts w:hint="eastAsia" w:ascii="黑体" w:hAnsi="黑体" w:eastAsia="黑体"/>
        </w:rPr>
        <w:t>7.3.2.2</w:t>
      </w:r>
      <w:r>
        <w:rPr>
          <w:rFonts w:hint="eastAsia"/>
        </w:rPr>
        <w:t>信号线的接线方式按照GB/T 19056-2012的要求接驳，并用防潮绝缘胶布将功能线包好，禁止误接或错接。按照连接信号、电源接线的位置，把主机信号线接好并固定牢靠。外接引线应加波纹套管随汽车线路走向固定。连接线时需要将线穿孔绞接，缠绕圈数不少于5圈，包胶布时要防止线芯刺穿胶布导致短路。接头应牢固可靠，不能起削，不能松散。每个接线头不能紧靠线的根部，至少距离20公分左右。</w:t>
      </w:r>
    </w:p>
    <w:p>
      <w:pPr>
        <w:pStyle w:val="63"/>
        <w:spacing w:before="156" w:after="156"/>
      </w:pPr>
      <w:bookmarkStart w:id="788" w:name="_Toc13665091"/>
      <w:bookmarkStart w:id="789" w:name="_Toc17643007"/>
      <w:bookmarkStart w:id="790" w:name="_Toc17643154"/>
      <w:bookmarkStart w:id="791" w:name="_Toc31284"/>
      <w:bookmarkStart w:id="792" w:name="_Toc13660684"/>
      <w:bookmarkStart w:id="793" w:name="_Toc17642851"/>
      <w:r>
        <w:rPr>
          <w:rFonts w:hint="eastAsia"/>
        </w:rPr>
        <w:t>设备标定</w:t>
      </w:r>
      <w:bookmarkEnd w:id="788"/>
      <w:bookmarkEnd w:id="789"/>
      <w:bookmarkEnd w:id="790"/>
      <w:bookmarkEnd w:id="791"/>
      <w:bookmarkEnd w:id="792"/>
      <w:bookmarkEnd w:id="793"/>
    </w:p>
    <w:p>
      <w:pPr>
        <w:pStyle w:val="125"/>
        <w:tabs>
          <w:tab w:val="center" w:pos="4201"/>
          <w:tab w:val="right" w:leader="dot" w:pos="9298"/>
        </w:tabs>
        <w:rPr>
          <w:rFonts w:hint="eastAsia"/>
        </w:rPr>
      </w:pPr>
      <w:r>
        <w:rPr>
          <w:rFonts w:hint="eastAsia"/>
        </w:rPr>
        <w:t>7.3.3.1设备安装固定完成后，应对设备中的部分部件进行标定，需要升级部分主要是用于车辆运行监测功能的摄像头方向、用于驾驶人状态监测的摄像头方向、以及用于视频监控的摄像头方向，车辆运行监测功能和驾驶人状态监测应依据设备标定方式和标定流程，使用设备配套的标定工具对部件进行标定，标定结果需要满足设备标定结果要求。</w:t>
      </w:r>
    </w:p>
    <w:p>
      <w:pPr>
        <w:pStyle w:val="125"/>
        <w:tabs>
          <w:tab w:val="center" w:pos="4201"/>
          <w:tab w:val="right" w:leader="dot" w:pos="9298"/>
        </w:tabs>
      </w:pPr>
      <w:r>
        <w:rPr>
          <w:rFonts w:hint="eastAsia"/>
        </w:rPr>
        <w:t>7.3.3.2</w:t>
      </w:r>
      <w:r>
        <w:t>摄像头标定时需保证摄像头所监控的区域与视频通道符合JT/T 1076中表</w:t>
      </w:r>
      <w:r>
        <w:rPr>
          <w:rFonts w:hint="eastAsia"/>
        </w:rPr>
        <w:t>2的要求。</w:t>
      </w:r>
    </w:p>
    <w:p>
      <w:pPr>
        <w:pStyle w:val="63"/>
        <w:spacing w:before="156" w:after="156"/>
      </w:pPr>
      <w:bookmarkStart w:id="794" w:name="_Toc13665092"/>
      <w:bookmarkStart w:id="795" w:name="_Toc1518"/>
      <w:bookmarkStart w:id="796" w:name="_Toc17643155"/>
      <w:bookmarkStart w:id="797" w:name="_Toc17642852"/>
      <w:bookmarkStart w:id="798" w:name="_Toc17643008"/>
      <w:bookmarkStart w:id="799" w:name="_Toc13660685"/>
      <w:r>
        <w:t>安装后检验</w:t>
      </w:r>
      <w:bookmarkEnd w:id="794"/>
      <w:bookmarkEnd w:id="795"/>
      <w:bookmarkEnd w:id="796"/>
      <w:bookmarkEnd w:id="797"/>
      <w:bookmarkEnd w:id="798"/>
      <w:bookmarkEnd w:id="799"/>
    </w:p>
    <w:p>
      <w:pPr>
        <w:pStyle w:val="27"/>
      </w:pPr>
      <w:r>
        <w:rPr>
          <w:rFonts w:hint="eastAsia"/>
        </w:rPr>
        <w:t>设备安装标定完成后，应在空旷场地对设备进行上电测试，检测需要遵循以下原则：</w:t>
      </w:r>
    </w:p>
    <w:p>
      <w:pPr>
        <w:pStyle w:val="145"/>
        <w:numPr>
          <w:ilvl w:val="0"/>
          <w:numId w:val="38"/>
        </w:numPr>
        <w:tabs>
          <w:tab w:val="center" w:pos="4201"/>
          <w:tab w:val="right" w:leader="dot" w:pos="9298"/>
        </w:tabs>
        <w:rPr>
          <w:rFonts w:hint="eastAsia"/>
          <w:szCs w:val="22"/>
        </w:rPr>
      </w:pPr>
      <w:r>
        <w:rPr>
          <w:rFonts w:hint="eastAsia"/>
          <w:szCs w:val="22"/>
        </w:rPr>
        <w:t>设备安装完成后，不应增加车辆状态异常，异常包含车辆不能正常启动，发动机故障以及其它车辆功能性故障；</w:t>
      </w:r>
    </w:p>
    <w:p>
      <w:pPr>
        <w:pStyle w:val="145"/>
        <w:numPr>
          <w:ilvl w:val="0"/>
          <w:numId w:val="38"/>
        </w:numPr>
        <w:tabs>
          <w:tab w:val="center" w:pos="4201"/>
          <w:tab w:val="right" w:leader="dot" w:pos="9298"/>
        </w:tabs>
        <w:rPr>
          <w:rFonts w:hint="eastAsia"/>
          <w:szCs w:val="22"/>
        </w:rPr>
      </w:pPr>
      <w:r>
        <w:rPr>
          <w:rFonts w:hint="eastAsia"/>
          <w:szCs w:val="22"/>
        </w:rPr>
        <w:t>设备自身工作正常，可正常定位，并连接到监控平台，平台可接收终端定位数据，查看设备实时视频；</w:t>
      </w:r>
    </w:p>
    <w:p>
      <w:pPr>
        <w:pStyle w:val="145"/>
        <w:numPr>
          <w:ilvl w:val="0"/>
          <w:numId w:val="38"/>
        </w:numPr>
        <w:tabs>
          <w:tab w:val="center" w:pos="4201"/>
          <w:tab w:val="right" w:leader="dot" w:pos="9298"/>
        </w:tabs>
        <w:rPr>
          <w:rFonts w:hint="eastAsia"/>
          <w:szCs w:val="22"/>
        </w:rPr>
      </w:pPr>
      <w:r>
        <w:rPr>
          <w:rFonts w:hint="eastAsia"/>
          <w:szCs w:val="22"/>
        </w:rPr>
        <w:t>保证智能视频监控报警装置功能可以正常工作。</w:t>
      </w:r>
    </w:p>
    <w:p>
      <w:pPr>
        <w:pStyle w:val="97"/>
      </w:pPr>
      <w:bookmarkStart w:id="800" w:name="_Toc17565897"/>
      <w:bookmarkStart w:id="801" w:name="_Toc17642853"/>
      <w:bookmarkStart w:id="802" w:name="_Toc17643009"/>
      <w:bookmarkStart w:id="803" w:name="_Toc18138082"/>
      <w:bookmarkStart w:id="804" w:name="_Toc13665093"/>
      <w:bookmarkStart w:id="805" w:name="_Toc18102117"/>
      <w:bookmarkStart w:id="806" w:name="_Toc16079_WPSOffice_Level1"/>
      <w:bookmarkStart w:id="807" w:name="_Toc17643156"/>
      <w:bookmarkStart w:id="808" w:name="_Toc14921_WPSOffice_Level1"/>
      <w:bookmarkStart w:id="809" w:name="_Toc13658929"/>
      <w:bookmarkStart w:id="810" w:name="_Toc6932"/>
      <w:bookmarkStart w:id="811" w:name="_Toc17563794"/>
      <w:bookmarkStart w:id="812" w:name="_Toc498602050"/>
      <w:r>
        <w:rPr>
          <w:rFonts w:hint="eastAsia"/>
        </w:rPr>
        <w:t>智能视频监控报警装置测试方法</w:t>
      </w:r>
      <w:bookmarkEnd w:id="800"/>
      <w:bookmarkEnd w:id="801"/>
      <w:bookmarkEnd w:id="802"/>
      <w:bookmarkEnd w:id="803"/>
      <w:bookmarkEnd w:id="804"/>
      <w:bookmarkEnd w:id="805"/>
      <w:bookmarkEnd w:id="806"/>
      <w:bookmarkEnd w:id="807"/>
      <w:bookmarkEnd w:id="808"/>
      <w:bookmarkEnd w:id="809"/>
      <w:bookmarkEnd w:id="810"/>
      <w:bookmarkEnd w:id="811"/>
    </w:p>
    <w:p>
      <w:pPr>
        <w:pStyle w:val="64"/>
        <w:ind w:hanging="709" w:hangingChars="338"/>
      </w:pPr>
      <w:bookmarkStart w:id="813" w:name="_Toc22437"/>
      <w:bookmarkStart w:id="814" w:name="_Toc17565901"/>
      <w:bookmarkStart w:id="815" w:name="_Toc17643019"/>
      <w:bookmarkStart w:id="816" w:name="_Toc18138083"/>
      <w:bookmarkStart w:id="817" w:name="_Toc18102118"/>
      <w:bookmarkStart w:id="818" w:name="_Toc13665113"/>
      <w:bookmarkStart w:id="819" w:name="_Toc17643166"/>
      <w:bookmarkStart w:id="820" w:name="_Toc24639_WPSOffice_Level1"/>
      <w:bookmarkStart w:id="821" w:name="_Toc8765"/>
      <w:bookmarkStart w:id="822" w:name="_Toc17563798"/>
      <w:bookmarkStart w:id="823" w:name="_Toc17642863"/>
      <w:bookmarkStart w:id="824" w:name="_Toc4009_WPSOffice_Level1"/>
      <w:bookmarkStart w:id="825" w:name="_Toc19668"/>
      <w:r>
        <w:t>车辆运行监测功能</w:t>
      </w:r>
      <w:r>
        <w:rPr>
          <w:rFonts w:hint="eastAsia"/>
        </w:rPr>
        <w:t>检测项目及方法</w:t>
      </w:r>
      <w:bookmarkEnd w:id="813"/>
      <w:bookmarkEnd w:id="814"/>
      <w:bookmarkEnd w:id="815"/>
      <w:bookmarkEnd w:id="816"/>
      <w:bookmarkEnd w:id="817"/>
      <w:bookmarkEnd w:id="818"/>
      <w:bookmarkEnd w:id="819"/>
      <w:bookmarkEnd w:id="820"/>
      <w:bookmarkEnd w:id="821"/>
      <w:bookmarkEnd w:id="822"/>
      <w:bookmarkEnd w:id="823"/>
      <w:bookmarkEnd w:id="824"/>
    </w:p>
    <w:p>
      <w:pPr>
        <w:pStyle w:val="27"/>
      </w:pPr>
      <w:r>
        <w:rPr>
          <w:rFonts w:hint="eastAsia"/>
        </w:rPr>
        <w:t>本部分中所涉及的道路试验均需满足</w:t>
      </w:r>
      <w:r>
        <w:t>JT/T 883-2014 标准8.1试验条件要求。</w:t>
      </w:r>
    </w:p>
    <w:p>
      <w:pPr>
        <w:pStyle w:val="63"/>
        <w:spacing w:before="156" w:after="156"/>
      </w:pPr>
      <w:bookmarkStart w:id="826" w:name="_Toc7014"/>
      <w:bookmarkStart w:id="827" w:name="_Toc17643167"/>
      <w:bookmarkStart w:id="828" w:name="_Toc17642864"/>
      <w:bookmarkStart w:id="829" w:name="_Toc21021"/>
      <w:bookmarkStart w:id="830" w:name="_Toc17643020"/>
      <w:bookmarkStart w:id="831" w:name="_Toc8110"/>
      <w:bookmarkStart w:id="832" w:name="_Toc13665114"/>
      <w:bookmarkStart w:id="833" w:name="_Toc13660707"/>
      <w:r>
        <w:rPr>
          <w:rFonts w:hint="eastAsia"/>
        </w:rPr>
        <w:t>前方车辆碰撞报警</w:t>
      </w:r>
      <w:bookmarkEnd w:id="826"/>
      <w:bookmarkEnd w:id="827"/>
      <w:bookmarkEnd w:id="828"/>
      <w:bookmarkEnd w:id="829"/>
      <w:bookmarkEnd w:id="830"/>
      <w:bookmarkEnd w:id="831"/>
      <w:bookmarkEnd w:id="832"/>
      <w:bookmarkEnd w:id="833"/>
    </w:p>
    <w:p>
      <w:pPr>
        <w:pStyle w:val="27"/>
      </w:pPr>
      <w:r>
        <w:t>前方车辆碰撞报警</w:t>
      </w:r>
      <w:r>
        <w:rPr>
          <w:rFonts w:hint="eastAsia"/>
        </w:rPr>
        <w:t>功能的</w:t>
      </w:r>
      <w:r>
        <w:t>测试</w:t>
      </w:r>
      <w:r>
        <w:rPr>
          <w:rFonts w:hint="eastAsia"/>
        </w:rPr>
        <w:t>方法与判定依据均</w:t>
      </w:r>
      <w:r>
        <w:t>参照 JT/T 883-2014 标准8.2中方法进行</w:t>
      </w:r>
      <w:r>
        <w:rPr>
          <w:rFonts w:hint="eastAsia"/>
        </w:rPr>
        <w:t>，且能正确报警</w:t>
      </w:r>
      <w:r>
        <w:t>。</w:t>
      </w:r>
    </w:p>
    <w:p>
      <w:pPr>
        <w:pStyle w:val="63"/>
        <w:spacing w:before="156" w:after="156"/>
      </w:pPr>
      <w:bookmarkStart w:id="834" w:name="_Toc13665115"/>
      <w:bookmarkStart w:id="835" w:name="_Toc13660708"/>
      <w:bookmarkStart w:id="836" w:name="_Toc17643021"/>
      <w:bookmarkStart w:id="837" w:name="_Toc17642865"/>
      <w:bookmarkStart w:id="838" w:name="_Toc17643168"/>
      <w:bookmarkStart w:id="839" w:name="_Toc26204"/>
      <w:bookmarkStart w:id="840" w:name="_Toc1696"/>
      <w:bookmarkStart w:id="841" w:name="_Toc9922"/>
      <w:r>
        <w:t>车道偏离</w:t>
      </w:r>
      <w:r>
        <w:rPr>
          <w:rFonts w:hint="eastAsia"/>
        </w:rPr>
        <w:t>报警</w:t>
      </w:r>
      <w:bookmarkEnd w:id="834"/>
      <w:bookmarkEnd w:id="835"/>
      <w:bookmarkEnd w:id="836"/>
      <w:bookmarkEnd w:id="837"/>
      <w:bookmarkEnd w:id="838"/>
      <w:bookmarkEnd w:id="839"/>
      <w:bookmarkEnd w:id="840"/>
      <w:bookmarkEnd w:id="841"/>
    </w:p>
    <w:p>
      <w:pPr>
        <w:pStyle w:val="27"/>
      </w:pPr>
      <w:r>
        <w:t>车道偏离</w:t>
      </w:r>
      <w:r>
        <w:rPr>
          <w:rFonts w:hint="eastAsia"/>
        </w:rPr>
        <w:t>报警功能的</w:t>
      </w:r>
      <w:r>
        <w:t>测试</w:t>
      </w:r>
      <w:r>
        <w:rPr>
          <w:rFonts w:hint="eastAsia"/>
        </w:rPr>
        <w:t>方法与判定依据均</w:t>
      </w:r>
      <w:r>
        <w:t>参</w:t>
      </w:r>
      <w:r>
        <w:rPr>
          <w:rFonts w:hint="eastAsia"/>
        </w:rPr>
        <w:t>照</w:t>
      </w:r>
      <w:r>
        <w:t xml:space="preserve"> JT/T 883-2014 标准 8.3 中的方法进行</w:t>
      </w:r>
      <w:r>
        <w:rPr>
          <w:rFonts w:hint="eastAsia"/>
        </w:rPr>
        <w:t>，且能正确报警</w:t>
      </w:r>
      <w:r>
        <w:t>。</w:t>
      </w:r>
    </w:p>
    <w:p>
      <w:pPr>
        <w:pStyle w:val="63"/>
        <w:spacing w:before="156" w:after="156"/>
      </w:pPr>
      <w:bookmarkStart w:id="842" w:name="_Toc24636"/>
      <w:bookmarkStart w:id="843" w:name="_Toc13660709"/>
      <w:bookmarkStart w:id="844" w:name="_Toc6466"/>
      <w:bookmarkStart w:id="845" w:name="_Toc13665116"/>
      <w:bookmarkStart w:id="846" w:name="_Toc18540"/>
      <w:bookmarkStart w:id="847" w:name="_Toc17643169"/>
      <w:bookmarkStart w:id="848" w:name="_Toc17642866"/>
      <w:bookmarkStart w:id="849" w:name="_Toc17643022"/>
      <w:r>
        <w:t>车距过近报警</w:t>
      </w:r>
      <w:bookmarkEnd w:id="842"/>
      <w:bookmarkEnd w:id="843"/>
      <w:bookmarkEnd w:id="844"/>
      <w:bookmarkEnd w:id="845"/>
      <w:r>
        <w:rPr>
          <w:rFonts w:hint="eastAsia"/>
        </w:rPr>
        <w:t>（选配）</w:t>
      </w:r>
      <w:bookmarkEnd w:id="846"/>
      <w:bookmarkEnd w:id="847"/>
      <w:bookmarkEnd w:id="848"/>
      <w:bookmarkEnd w:id="849"/>
    </w:p>
    <w:p>
      <w:pPr>
        <w:pStyle w:val="62"/>
        <w:spacing w:before="156" w:after="156"/>
      </w:pPr>
      <w:bookmarkStart w:id="850" w:name="_Toc17643023"/>
      <w:bookmarkStart w:id="851" w:name="_Toc17642867"/>
      <w:r>
        <w:rPr>
          <w:rFonts w:hint="eastAsia" w:hAnsi="黑体"/>
        </w:rPr>
        <w:t>8.1.3.1</w:t>
      </w:r>
      <w:r>
        <w:rPr>
          <w:rFonts w:hint="eastAsia"/>
        </w:rPr>
        <w:t>试验场景要求</w:t>
      </w:r>
      <w:bookmarkEnd w:id="850"/>
      <w:bookmarkEnd w:id="851"/>
    </w:p>
    <w:p>
      <w:pPr>
        <w:pStyle w:val="27"/>
      </w:pPr>
      <w:r>
        <w:rPr>
          <w:rFonts w:hint="eastAsia"/>
        </w:rPr>
        <w:t>试验应在无外界车辆干扰的场地进行，且需要达到以下条件：</w:t>
      </w:r>
    </w:p>
    <w:p>
      <w:pPr>
        <w:pStyle w:val="145"/>
        <w:numPr>
          <w:ilvl w:val="0"/>
          <w:numId w:val="39"/>
        </w:numPr>
        <w:tabs>
          <w:tab w:val="center" w:pos="4201"/>
          <w:tab w:val="right" w:leader="dot" w:pos="9298"/>
        </w:tabs>
        <w:rPr>
          <w:rFonts w:hint="eastAsia"/>
          <w:szCs w:val="22"/>
        </w:rPr>
      </w:pPr>
      <w:r>
        <w:rPr>
          <w:rFonts w:hint="eastAsia"/>
          <w:szCs w:val="22"/>
        </w:rPr>
        <w:t>干燥平坦的沥青或混凝土路面；</w:t>
      </w:r>
    </w:p>
    <w:p>
      <w:pPr>
        <w:pStyle w:val="145"/>
        <w:numPr>
          <w:ilvl w:val="0"/>
          <w:numId w:val="39"/>
        </w:numPr>
        <w:tabs>
          <w:tab w:val="center" w:pos="4201"/>
          <w:tab w:val="right" w:leader="dot" w:pos="9298"/>
        </w:tabs>
        <w:rPr>
          <w:rFonts w:hint="eastAsia"/>
          <w:szCs w:val="22"/>
        </w:rPr>
      </w:pPr>
      <w:r>
        <w:rPr>
          <w:rFonts w:hint="eastAsia"/>
          <w:szCs w:val="22"/>
        </w:rPr>
        <w:t>水平能见度不小于1Km；</w:t>
      </w:r>
    </w:p>
    <w:p>
      <w:pPr>
        <w:pStyle w:val="145"/>
        <w:numPr>
          <w:ilvl w:val="0"/>
          <w:numId w:val="39"/>
        </w:numPr>
        <w:tabs>
          <w:tab w:val="center" w:pos="4201"/>
          <w:tab w:val="right" w:leader="dot" w:pos="9298"/>
        </w:tabs>
        <w:rPr>
          <w:rFonts w:hint="eastAsia"/>
          <w:szCs w:val="22"/>
        </w:rPr>
      </w:pPr>
      <w:r>
        <w:rPr>
          <w:rFonts w:hint="eastAsia"/>
          <w:szCs w:val="22"/>
        </w:rPr>
        <w:t>试验路面车道线状态良好，符合GB 5768.3—2009的规定；</w:t>
      </w:r>
    </w:p>
    <w:p>
      <w:pPr>
        <w:pStyle w:val="145"/>
        <w:numPr>
          <w:ilvl w:val="0"/>
          <w:numId w:val="39"/>
        </w:numPr>
        <w:tabs>
          <w:tab w:val="center" w:pos="4201"/>
          <w:tab w:val="right" w:leader="dot" w:pos="9298"/>
        </w:tabs>
        <w:rPr>
          <w:rFonts w:hint="eastAsia"/>
          <w:szCs w:val="22"/>
        </w:rPr>
      </w:pPr>
      <w:r>
        <w:rPr>
          <w:rFonts w:hint="eastAsia"/>
          <w:szCs w:val="22"/>
        </w:rPr>
        <w:t>试验车道直线距离满足车辆测试期间行驶及加减速距离的要求；</w:t>
      </w:r>
    </w:p>
    <w:p>
      <w:pPr>
        <w:pStyle w:val="145"/>
        <w:numPr>
          <w:ilvl w:val="0"/>
          <w:numId w:val="39"/>
        </w:numPr>
        <w:tabs>
          <w:tab w:val="center" w:pos="4201"/>
          <w:tab w:val="right" w:leader="dot" w:pos="9298"/>
        </w:tabs>
        <w:rPr>
          <w:rFonts w:hint="eastAsia"/>
          <w:szCs w:val="22"/>
        </w:rPr>
      </w:pPr>
      <w:r>
        <w:rPr>
          <w:rFonts w:hint="eastAsia"/>
          <w:szCs w:val="22"/>
        </w:rPr>
        <w:t>目标车必须做好安全防护工作。</w:t>
      </w:r>
    </w:p>
    <w:p>
      <w:pPr>
        <w:pStyle w:val="62"/>
        <w:spacing w:before="156" w:after="156"/>
        <w:rPr>
          <w:rFonts w:hint="eastAsia" w:hAnsi="黑体"/>
        </w:rPr>
      </w:pPr>
      <w:bookmarkStart w:id="852" w:name="_Toc17643024"/>
      <w:bookmarkStart w:id="853" w:name="_Toc17642868"/>
      <w:r>
        <w:rPr>
          <w:rFonts w:hint="eastAsia" w:hAnsi="黑体"/>
        </w:rPr>
        <w:t>8.1.3.2试验步骤要求</w:t>
      </w:r>
      <w:bookmarkEnd w:id="852"/>
      <w:bookmarkEnd w:id="853"/>
    </w:p>
    <w:p>
      <w:pPr>
        <w:pStyle w:val="27"/>
        <w:rPr>
          <w:rFonts w:hint="eastAsia"/>
          <w:szCs w:val="22"/>
        </w:rPr>
      </w:pPr>
      <w:r>
        <w:rPr>
          <w:rFonts w:hint="eastAsia"/>
          <w:szCs w:val="22"/>
        </w:rPr>
        <w:t>试验步骤应满足一下要求：</w:t>
      </w:r>
    </w:p>
    <w:p>
      <w:pPr>
        <w:pStyle w:val="145"/>
        <w:numPr>
          <w:ilvl w:val="0"/>
          <w:numId w:val="40"/>
        </w:numPr>
        <w:tabs>
          <w:tab w:val="center" w:pos="4201"/>
          <w:tab w:val="right" w:leader="dot" w:pos="9298"/>
        </w:tabs>
        <w:rPr>
          <w:rFonts w:hint="eastAsia"/>
          <w:szCs w:val="22"/>
        </w:rPr>
      </w:pPr>
      <w:r>
        <w:rPr>
          <w:rFonts w:hint="eastAsia"/>
          <w:szCs w:val="22"/>
        </w:rPr>
        <w:t>测试过程中，目标车和自车的方向一致；</w:t>
      </w:r>
    </w:p>
    <w:p>
      <w:pPr>
        <w:pStyle w:val="145"/>
        <w:numPr>
          <w:ilvl w:val="0"/>
          <w:numId w:val="40"/>
        </w:numPr>
        <w:tabs>
          <w:tab w:val="center" w:pos="4201"/>
          <w:tab w:val="right" w:leader="dot" w:pos="9298"/>
        </w:tabs>
        <w:rPr>
          <w:rFonts w:hint="eastAsia"/>
          <w:szCs w:val="22"/>
        </w:rPr>
      </w:pPr>
      <w:r>
        <w:rPr>
          <w:rFonts w:hint="eastAsia"/>
          <w:szCs w:val="22"/>
        </w:rPr>
        <w:t>自车保持在45 km/h的速度沿车道中心线直线行驶，目标车保持在35 km/h的速度沿车道中心线直线行驶。自车和目标车距离等于50m时，测试开始。测试过程如图6所示。</w:t>
      </w:r>
    </w:p>
    <w:p>
      <w:pPr>
        <w:pStyle w:val="130"/>
        <w:numPr>
          <w:ilvl w:val="0"/>
          <w:numId w:val="0"/>
        </w:numPr>
        <w:tabs>
          <w:tab w:val="clear" w:pos="760"/>
        </w:tabs>
        <w:jc w:val="center"/>
      </w:pPr>
      <w:r>
        <w:rPr>
          <w:lang w:val="en-US" w:eastAsia="zh-CN"/>
        </w:rPr>
        <w:pict>
          <v:shape id="_x0000_i1039" o:spt="75" type="#_x0000_t75" style="height:86.25pt;width:267.75pt;" filled="f" o:preferrelative="t" stroked="f" coordsize="21600,21600">
            <v:path/>
            <v:fill on="f" focussize="0,0"/>
            <v:stroke on="f" joinstyle="miter"/>
            <v:imagedata r:id="rId35" o:title=""/>
            <o:lock v:ext="edit" aspectratio="t"/>
            <w10:wrap type="none"/>
            <w10:anchorlock/>
          </v:shape>
        </w:pict>
      </w:r>
    </w:p>
    <w:p>
      <w:pPr>
        <w:pStyle w:val="61"/>
        <w:numPr>
          <w:ilvl w:val="0"/>
          <w:numId w:val="0"/>
        </w:numPr>
        <w:tabs>
          <w:tab w:val="left" w:pos="760"/>
          <w:tab w:val="left" w:pos="840"/>
        </w:tabs>
      </w:pPr>
      <w:r>
        <w:rPr>
          <w:rFonts w:hint="eastAsia"/>
        </w:rPr>
        <w:t>图6</w:t>
      </w:r>
    </w:p>
    <w:p>
      <w:pPr>
        <w:pStyle w:val="145"/>
        <w:numPr>
          <w:ilvl w:val="0"/>
          <w:numId w:val="40"/>
        </w:numPr>
        <w:tabs>
          <w:tab w:val="center" w:pos="4201"/>
          <w:tab w:val="right" w:leader="dot" w:pos="9298"/>
        </w:tabs>
        <w:rPr>
          <w:rFonts w:hint="eastAsia"/>
          <w:szCs w:val="22"/>
        </w:rPr>
      </w:pPr>
      <w:r>
        <w:rPr>
          <w:rFonts w:hint="eastAsia"/>
          <w:szCs w:val="22"/>
        </w:rPr>
        <w:t>若终端在车头时距在1.4-1.8s之间发生车距过近的正确报警，则本次测试通过；</w:t>
      </w:r>
    </w:p>
    <w:p>
      <w:pPr>
        <w:pStyle w:val="145"/>
        <w:numPr>
          <w:ilvl w:val="0"/>
          <w:numId w:val="40"/>
        </w:numPr>
        <w:tabs>
          <w:tab w:val="center" w:pos="4201"/>
          <w:tab w:val="right" w:leader="dot" w:pos="9298"/>
        </w:tabs>
        <w:rPr>
          <w:rFonts w:hint="eastAsia"/>
          <w:szCs w:val="22"/>
        </w:rPr>
      </w:pPr>
      <w:r>
        <w:rPr>
          <w:rFonts w:hint="eastAsia"/>
          <w:szCs w:val="22"/>
        </w:rPr>
        <w:t>重复上述操作测试七次，记录每次测试结果。</w:t>
      </w:r>
    </w:p>
    <w:p>
      <w:pPr>
        <w:pStyle w:val="62"/>
        <w:spacing w:before="156" w:after="156"/>
        <w:rPr>
          <w:rFonts w:hint="eastAsia" w:hAnsi="黑体"/>
        </w:rPr>
      </w:pPr>
      <w:bookmarkStart w:id="854" w:name="_Toc17642869"/>
      <w:bookmarkStart w:id="855" w:name="_Toc17643025"/>
      <w:r>
        <w:rPr>
          <w:rFonts w:hint="eastAsia" w:hAnsi="黑体"/>
        </w:rPr>
        <w:t>8.1.3.3试验结果分析</w:t>
      </w:r>
      <w:bookmarkEnd w:id="854"/>
      <w:bookmarkEnd w:id="855"/>
    </w:p>
    <w:p>
      <w:pPr>
        <w:pStyle w:val="27"/>
      </w:pPr>
      <w:r>
        <w:rPr>
          <w:rFonts w:hint="eastAsia"/>
        </w:rPr>
        <w:t>终端</w:t>
      </w:r>
      <w:r>
        <w:t>应通过该七次测试中的五次，且不能连续两次测试失败</w:t>
      </w:r>
      <w:r>
        <w:rPr>
          <w:rFonts w:hint="eastAsia"/>
        </w:rPr>
        <w:t>，则判定本项测试通过</w:t>
      </w:r>
      <w:r>
        <w:t>。</w:t>
      </w:r>
    </w:p>
    <w:p>
      <w:pPr>
        <w:pStyle w:val="63"/>
        <w:spacing w:before="156" w:after="156"/>
      </w:pPr>
      <w:bookmarkStart w:id="856" w:name="_Toc24560"/>
      <w:bookmarkStart w:id="857" w:name="_Toc13660710"/>
      <w:bookmarkStart w:id="858" w:name="_Toc23076"/>
      <w:bookmarkStart w:id="859" w:name="_Toc13665117"/>
      <w:bookmarkStart w:id="860" w:name="_Toc17642870"/>
      <w:bookmarkStart w:id="861" w:name="_Toc17643170"/>
      <w:bookmarkStart w:id="862" w:name="_Toc17356"/>
      <w:bookmarkStart w:id="863" w:name="_Toc17643026"/>
      <w:r>
        <w:rPr>
          <w:rFonts w:hint="eastAsia"/>
        </w:rPr>
        <w:t>行人碰撞报警</w:t>
      </w:r>
      <w:bookmarkEnd w:id="856"/>
      <w:bookmarkEnd w:id="857"/>
      <w:bookmarkEnd w:id="858"/>
      <w:bookmarkEnd w:id="859"/>
      <w:r>
        <w:rPr>
          <w:rFonts w:hint="eastAsia"/>
        </w:rPr>
        <w:t>（选配）</w:t>
      </w:r>
      <w:bookmarkEnd w:id="860"/>
      <w:bookmarkEnd w:id="861"/>
      <w:bookmarkEnd w:id="862"/>
      <w:bookmarkEnd w:id="863"/>
    </w:p>
    <w:p>
      <w:pPr>
        <w:pStyle w:val="27"/>
      </w:pPr>
      <w:r>
        <w:t>行人碰撞报警试验按下列</w:t>
      </w:r>
      <w:r>
        <w:rPr>
          <w:rFonts w:hint="eastAsia"/>
        </w:rPr>
        <w:t>三种工况进行</w:t>
      </w:r>
      <w:r>
        <w:t>。</w:t>
      </w:r>
    </w:p>
    <w:p>
      <w:pPr>
        <w:pStyle w:val="145"/>
        <w:numPr>
          <w:ilvl w:val="0"/>
          <w:numId w:val="41"/>
        </w:numPr>
        <w:tabs>
          <w:tab w:val="center" w:pos="4201"/>
          <w:tab w:val="right" w:leader="dot" w:pos="9298"/>
        </w:tabs>
        <w:rPr>
          <w:rFonts w:hint="eastAsia"/>
          <w:szCs w:val="22"/>
        </w:rPr>
      </w:pPr>
      <w:r>
        <w:rPr>
          <w:rFonts w:hint="eastAsia"/>
          <w:szCs w:val="22"/>
        </w:rPr>
        <w:t>工况一：</w:t>
      </w:r>
    </w:p>
    <w:p>
      <w:pPr>
        <w:pStyle w:val="134"/>
        <w:numPr>
          <w:ilvl w:val="0"/>
          <w:numId w:val="42"/>
        </w:numPr>
        <w:tabs>
          <w:tab w:val="center" w:pos="4201"/>
          <w:tab w:val="right" w:leader="dot" w:pos="9298"/>
          <w:tab w:val="clear" w:pos="1260"/>
        </w:tabs>
      </w:pPr>
      <w:r>
        <w:rPr>
          <w:rFonts w:hint="eastAsia"/>
        </w:rPr>
        <w:t>自</w:t>
      </w:r>
      <w:r>
        <w:t>车从距离障碍物后部150m 的位置开始，以30km/h 的速度匀速驶向障碍物，障碍物位于车辆正前方保持静止</w:t>
      </w:r>
      <w:r>
        <w:rPr>
          <w:rFonts w:hint="eastAsia"/>
        </w:rPr>
        <w:t>，如图7所示</w:t>
      </w:r>
      <w:r>
        <w:t>；</w:t>
      </w:r>
    </w:p>
    <w:p>
      <w:pPr>
        <w:pStyle w:val="134"/>
        <w:numPr>
          <w:ilvl w:val="0"/>
          <w:numId w:val="42"/>
        </w:numPr>
        <w:tabs>
          <w:tab w:val="center" w:pos="4201"/>
          <w:tab w:val="right" w:leader="dot" w:pos="9298"/>
          <w:tab w:val="clear" w:pos="1260"/>
        </w:tabs>
      </w:pPr>
      <w:r>
        <w:rPr>
          <w:rFonts w:hint="eastAsia"/>
        </w:rPr>
        <w:t>自车</w:t>
      </w:r>
      <w:r>
        <w:t>与障碍物TTC为2-4</w:t>
      </w:r>
      <w:r>
        <w:rPr>
          <w:rFonts w:hint="eastAsia"/>
        </w:rPr>
        <w:t>s</w:t>
      </w:r>
      <w:r>
        <w:t>时发出</w:t>
      </w:r>
      <w:r>
        <w:rPr>
          <w:rFonts w:hint="eastAsia"/>
        </w:rPr>
        <w:t>碰撞的</w:t>
      </w:r>
      <w:r>
        <w:t>正确</w:t>
      </w:r>
      <w:r>
        <w:rPr>
          <w:rFonts w:hint="eastAsia"/>
        </w:rPr>
        <w:t>报警</w:t>
      </w:r>
      <w:r>
        <w:t>，则本次测试通过；</w:t>
      </w:r>
    </w:p>
    <w:p>
      <w:pPr>
        <w:pStyle w:val="134"/>
        <w:numPr>
          <w:ilvl w:val="0"/>
          <w:numId w:val="42"/>
        </w:numPr>
        <w:tabs>
          <w:tab w:val="center" w:pos="4201"/>
          <w:tab w:val="right" w:leader="dot" w:pos="9298"/>
          <w:tab w:val="clear" w:pos="1260"/>
        </w:tabs>
      </w:pPr>
      <w:r>
        <w:rPr>
          <w:rFonts w:hint="eastAsia"/>
        </w:rPr>
        <w:t>连</w:t>
      </w:r>
      <w:r>
        <w:t>续试验七次，</w:t>
      </w:r>
      <w:r>
        <w:rPr>
          <w:rFonts w:hint="eastAsia"/>
        </w:rPr>
        <w:t>终端</w:t>
      </w:r>
      <w:r>
        <w:t>应当通过七次试验中的五次试验，且不能连续两次试验失败。</w:t>
      </w:r>
    </w:p>
    <w:p>
      <w:pPr>
        <w:pStyle w:val="27"/>
        <w:jc w:val="center"/>
      </w:pPr>
      <w:r>
        <w:object>
          <v:shape id="_x0000_i1040" o:spt="75" type="#_x0000_t75" style="height:165.75pt;width:103.5pt;" o:ole="t" filled="f" o:preferrelative="t" stroked="f" coordsize="21600,21600">
            <v:path/>
            <v:fill on="f" focussize="0,0"/>
            <v:stroke on="f" joinstyle="miter"/>
            <v:imagedata r:id="rId37" o:title=""/>
            <o:lock v:ext="edit" aspectratio="t"/>
            <w10:wrap type="none"/>
            <w10:anchorlock/>
          </v:shape>
          <o:OLEObject Type="Embed" ProgID="Visio.Drawing.11" ShapeID="_x0000_i1040" DrawAspect="Content" ObjectID="_1468075739" r:id="rId36">
            <o:LockedField>false</o:LockedField>
          </o:OLEObject>
        </w:object>
      </w:r>
    </w:p>
    <w:p>
      <w:pPr>
        <w:pStyle w:val="27"/>
        <w:jc w:val="center"/>
        <w:rPr>
          <w:rFonts w:hint="eastAsia" w:ascii="黑体" w:eastAsia="黑体"/>
          <w:szCs w:val="22"/>
        </w:rPr>
      </w:pPr>
      <w:r>
        <w:rPr>
          <w:rFonts w:hint="eastAsia" w:ascii="黑体" w:eastAsia="黑体"/>
          <w:szCs w:val="22"/>
        </w:rPr>
        <w:t>图7</w:t>
      </w:r>
    </w:p>
    <w:p>
      <w:pPr>
        <w:pStyle w:val="145"/>
        <w:numPr>
          <w:ilvl w:val="0"/>
          <w:numId w:val="41"/>
        </w:numPr>
        <w:tabs>
          <w:tab w:val="center" w:pos="4201"/>
          <w:tab w:val="right" w:leader="dot" w:pos="9298"/>
        </w:tabs>
        <w:rPr>
          <w:szCs w:val="22"/>
        </w:rPr>
      </w:pPr>
      <w:r>
        <w:rPr>
          <w:szCs w:val="22"/>
        </w:rPr>
        <w:t>工况二:</w:t>
      </w:r>
    </w:p>
    <w:p>
      <w:pPr>
        <w:pStyle w:val="134"/>
        <w:numPr>
          <w:ilvl w:val="1"/>
          <w:numId w:val="43"/>
        </w:numPr>
        <w:tabs>
          <w:tab w:val="left" w:pos="760"/>
          <w:tab w:val="left" w:pos="840"/>
        </w:tabs>
      </w:pPr>
      <w:r>
        <w:rPr>
          <w:rFonts w:hint="eastAsia"/>
        </w:rPr>
        <w:t>自</w:t>
      </w:r>
      <w:r>
        <w:t>车从距离障碍物后部 150m 的位置开始，以 36km/h 的速度匀速驶向障碍物，障碍物位于车辆正前方以5km/h 的速度匀速向前运动</w:t>
      </w:r>
      <w:r>
        <w:rPr>
          <w:rFonts w:hint="eastAsia"/>
        </w:rPr>
        <w:t>，如图8所示</w:t>
      </w:r>
      <w:r>
        <w:t>；</w:t>
      </w:r>
    </w:p>
    <w:p>
      <w:pPr>
        <w:pStyle w:val="134"/>
        <w:numPr>
          <w:ilvl w:val="1"/>
          <w:numId w:val="43"/>
        </w:numPr>
        <w:tabs>
          <w:tab w:val="left" w:pos="760"/>
          <w:tab w:val="left" w:pos="840"/>
        </w:tabs>
      </w:pPr>
      <w:r>
        <w:rPr>
          <w:rFonts w:hint="eastAsia"/>
        </w:rPr>
        <w:t>自</w:t>
      </w:r>
      <w:r>
        <w:t>车与障碍物TTC为2-4</w:t>
      </w:r>
      <w:r>
        <w:rPr>
          <w:rFonts w:hint="eastAsia"/>
        </w:rPr>
        <w:t>s</w:t>
      </w:r>
      <w:r>
        <w:t>时发出</w:t>
      </w:r>
      <w:r>
        <w:rPr>
          <w:rFonts w:hint="eastAsia"/>
        </w:rPr>
        <w:t>碰撞的</w:t>
      </w:r>
      <w:r>
        <w:t>正确</w:t>
      </w:r>
      <w:r>
        <w:rPr>
          <w:rFonts w:hint="eastAsia"/>
        </w:rPr>
        <w:t>报警</w:t>
      </w:r>
      <w:r>
        <w:t>，则本次测试通过；</w:t>
      </w:r>
    </w:p>
    <w:p>
      <w:pPr>
        <w:pStyle w:val="134"/>
        <w:numPr>
          <w:ilvl w:val="1"/>
          <w:numId w:val="43"/>
        </w:numPr>
        <w:tabs>
          <w:tab w:val="left" w:pos="760"/>
          <w:tab w:val="left" w:pos="840"/>
        </w:tabs>
      </w:pPr>
      <w:r>
        <w:rPr>
          <w:rFonts w:hint="eastAsia"/>
        </w:rPr>
        <w:t>连</w:t>
      </w:r>
      <w:r>
        <w:t>续试验七次，</w:t>
      </w:r>
      <w:r>
        <w:rPr>
          <w:rFonts w:hint="eastAsia"/>
        </w:rPr>
        <w:t>终端</w:t>
      </w:r>
      <w:r>
        <w:t>应当通过七次试验中的五次试验，且不能连续两次试验失败。</w:t>
      </w:r>
    </w:p>
    <w:p>
      <w:pPr>
        <w:ind w:firstLine="420"/>
        <w:jc w:val="center"/>
        <w:rPr>
          <w:rFonts w:ascii="仿宋" w:hAnsi="仿宋" w:eastAsia="仿宋"/>
        </w:rPr>
      </w:pPr>
      <w:r>
        <w:rPr>
          <w:rFonts w:ascii="仿宋" w:hAnsi="仿宋" w:eastAsia="仿宋"/>
        </w:rPr>
        <w:object>
          <v:shape id="_x0000_i1041" o:spt="75" type="#_x0000_t75" style="height:148.5pt;width:92.25pt;" o:ole="t" filled="f" o:preferrelative="t" stroked="f" coordsize="21600,21600">
            <v:path/>
            <v:fill on="f" focussize="0,0"/>
            <v:stroke on="f" joinstyle="miter"/>
            <v:imagedata r:id="rId39" o:title=""/>
            <o:lock v:ext="edit" aspectratio="t"/>
            <w10:wrap type="none"/>
            <w10:anchorlock/>
          </v:shape>
          <o:OLEObject Type="Embed" ProgID="Visio.Drawing.11" ShapeID="_x0000_i1041" DrawAspect="Content" ObjectID="_1468075740" r:id="rId38">
            <o:LockedField>false</o:LockedField>
          </o:OLEObject>
        </w:object>
      </w:r>
    </w:p>
    <w:p>
      <w:pPr>
        <w:pStyle w:val="27"/>
        <w:ind w:firstLine="210" w:firstLineChars="100"/>
        <w:jc w:val="center"/>
        <w:rPr>
          <w:rFonts w:ascii="黑体" w:eastAsia="黑体"/>
          <w:szCs w:val="22"/>
        </w:rPr>
      </w:pPr>
      <w:r>
        <w:rPr>
          <w:rFonts w:hint="eastAsia" w:ascii="黑体" w:eastAsia="黑体"/>
          <w:szCs w:val="22"/>
        </w:rPr>
        <w:t>图8</w:t>
      </w:r>
    </w:p>
    <w:p>
      <w:pPr>
        <w:pStyle w:val="145"/>
        <w:numPr>
          <w:ilvl w:val="0"/>
          <w:numId w:val="41"/>
        </w:numPr>
        <w:tabs>
          <w:tab w:val="center" w:pos="4201"/>
          <w:tab w:val="right" w:leader="dot" w:pos="9298"/>
        </w:tabs>
        <w:rPr>
          <w:szCs w:val="22"/>
        </w:rPr>
      </w:pPr>
      <w:r>
        <w:rPr>
          <w:szCs w:val="22"/>
        </w:rPr>
        <w:t>工况三：</w:t>
      </w:r>
    </w:p>
    <w:p>
      <w:pPr>
        <w:pStyle w:val="134"/>
        <w:numPr>
          <w:ilvl w:val="1"/>
          <w:numId w:val="44"/>
        </w:numPr>
        <w:tabs>
          <w:tab w:val="left" w:pos="760"/>
          <w:tab w:val="left" w:pos="840"/>
        </w:tabs>
      </w:pPr>
      <w:r>
        <w:rPr>
          <w:rFonts w:hint="eastAsia"/>
        </w:rPr>
        <w:t>自</w:t>
      </w:r>
      <w:r>
        <w:t>车从距离假人后部 150m 的位置开始，以 30km/h 的速度匀速驶向障碍物，障碍物以5km/h的速度从</w:t>
      </w:r>
      <w:r>
        <w:rPr>
          <w:rFonts w:hint="eastAsia"/>
        </w:rPr>
        <w:t>自</w:t>
      </w:r>
      <w:r>
        <w:t>车行驶路径外侧横穿入路径中央</w:t>
      </w:r>
      <w:r>
        <w:rPr>
          <w:rFonts w:hint="eastAsia"/>
        </w:rPr>
        <w:t>，如图9所示</w:t>
      </w:r>
      <w:r>
        <w:t>；</w:t>
      </w:r>
    </w:p>
    <w:p>
      <w:pPr>
        <w:pStyle w:val="134"/>
        <w:numPr>
          <w:ilvl w:val="1"/>
          <w:numId w:val="44"/>
        </w:numPr>
        <w:tabs>
          <w:tab w:val="left" w:pos="760"/>
          <w:tab w:val="left" w:pos="840"/>
        </w:tabs>
      </w:pPr>
      <w:r>
        <w:rPr>
          <w:rFonts w:hint="eastAsia"/>
        </w:rPr>
        <w:t>自</w:t>
      </w:r>
      <w:r>
        <w:t>车与障碍物TTC为2-4</w:t>
      </w:r>
      <w:r>
        <w:rPr>
          <w:rFonts w:hint="eastAsia"/>
        </w:rPr>
        <w:t>s</w:t>
      </w:r>
      <w:r>
        <w:t>时发出</w:t>
      </w:r>
      <w:r>
        <w:rPr>
          <w:rFonts w:hint="eastAsia"/>
        </w:rPr>
        <w:t>碰撞的</w:t>
      </w:r>
      <w:r>
        <w:t>正确</w:t>
      </w:r>
      <w:r>
        <w:rPr>
          <w:rFonts w:hint="eastAsia"/>
        </w:rPr>
        <w:t>报警</w:t>
      </w:r>
      <w:r>
        <w:t>，则本次测试通过；</w:t>
      </w:r>
    </w:p>
    <w:p>
      <w:pPr>
        <w:pStyle w:val="134"/>
        <w:numPr>
          <w:ilvl w:val="1"/>
          <w:numId w:val="44"/>
        </w:numPr>
        <w:tabs>
          <w:tab w:val="left" w:pos="760"/>
          <w:tab w:val="left" w:pos="840"/>
        </w:tabs>
      </w:pPr>
      <w:r>
        <w:rPr>
          <w:rFonts w:hint="eastAsia"/>
        </w:rPr>
        <w:t>连</w:t>
      </w:r>
      <w:r>
        <w:t>续试验七次，</w:t>
      </w:r>
      <w:r>
        <w:rPr>
          <w:rFonts w:hint="eastAsia"/>
        </w:rPr>
        <w:t>终端</w:t>
      </w:r>
      <w:r>
        <w:t>应当通过七次试验中的五次试验，且不能连续两次试验失败。</w:t>
      </w:r>
    </w:p>
    <w:p>
      <w:pPr>
        <w:ind w:firstLine="420"/>
        <w:rPr>
          <w:rFonts w:ascii="仿宋" w:hAnsi="仿宋" w:eastAsia="仿宋"/>
        </w:rPr>
      </w:pPr>
    </w:p>
    <w:p>
      <w:pPr>
        <w:ind w:firstLine="420"/>
        <w:jc w:val="center"/>
        <w:rPr>
          <w:rFonts w:ascii="仿宋" w:hAnsi="仿宋" w:eastAsia="仿宋"/>
        </w:rPr>
      </w:pPr>
      <w:r>
        <w:rPr>
          <w:rFonts w:ascii="仿宋" w:hAnsi="仿宋" w:eastAsia="仿宋"/>
        </w:rPr>
        <w:object>
          <v:shape id="_x0000_i1042" o:spt="75" type="#_x0000_t75" style="height:135.75pt;width:168pt;" o:ole="t" filled="f" o:preferrelative="t" stroked="f" coordsize="21600,21600">
            <v:path/>
            <v:fill on="f" focussize="0,0"/>
            <v:stroke on="f" joinstyle="miter"/>
            <v:imagedata r:id="rId41" o:title=""/>
            <o:lock v:ext="edit" aspectratio="t"/>
            <w10:wrap type="none"/>
            <w10:anchorlock/>
          </v:shape>
          <o:OLEObject Type="Embed" ProgID="Visio.Drawing.11" ShapeID="_x0000_i1042" DrawAspect="Content" ObjectID="_1468075741" r:id="rId40">
            <o:LockedField>false</o:LockedField>
          </o:OLEObject>
        </w:object>
      </w:r>
    </w:p>
    <w:p>
      <w:pPr>
        <w:ind w:firstLine="420"/>
        <w:jc w:val="center"/>
        <w:rPr>
          <w:rFonts w:hint="eastAsia" w:ascii="黑体" w:eastAsia="黑体"/>
          <w:kern w:val="0"/>
          <w:szCs w:val="22"/>
        </w:rPr>
      </w:pPr>
      <w:r>
        <w:rPr>
          <w:rFonts w:hint="eastAsia" w:ascii="黑体" w:eastAsia="黑体"/>
          <w:kern w:val="0"/>
          <w:szCs w:val="22"/>
        </w:rPr>
        <w:t>图9</w:t>
      </w:r>
    </w:p>
    <w:p>
      <w:pPr>
        <w:pStyle w:val="63"/>
        <w:spacing w:before="156" w:after="156"/>
      </w:pPr>
      <w:bookmarkStart w:id="864" w:name="_Toc13665118"/>
      <w:bookmarkStart w:id="865" w:name="_Toc28110"/>
      <w:bookmarkStart w:id="866" w:name="_Toc20785"/>
      <w:bookmarkStart w:id="867" w:name="_Toc13660711"/>
      <w:bookmarkStart w:id="868" w:name="_Toc29844"/>
      <w:bookmarkStart w:id="869" w:name="_Toc17642871"/>
      <w:bookmarkStart w:id="870" w:name="_Toc17643027"/>
      <w:bookmarkStart w:id="871" w:name="_Toc17643171"/>
      <w:r>
        <w:rPr>
          <w:rFonts w:hint="eastAsia"/>
        </w:rPr>
        <w:t>设备失效报警</w:t>
      </w:r>
      <w:bookmarkEnd w:id="864"/>
      <w:bookmarkEnd w:id="865"/>
      <w:bookmarkEnd w:id="866"/>
      <w:bookmarkEnd w:id="867"/>
      <w:bookmarkEnd w:id="868"/>
      <w:r>
        <w:rPr>
          <w:rFonts w:hint="eastAsia"/>
        </w:rPr>
        <w:t>（选配）</w:t>
      </w:r>
      <w:bookmarkEnd w:id="869"/>
      <w:bookmarkEnd w:id="870"/>
      <w:bookmarkEnd w:id="871"/>
    </w:p>
    <w:p>
      <w:pPr>
        <w:pStyle w:val="62"/>
        <w:spacing w:before="156" w:after="156"/>
        <w:rPr>
          <w:rFonts w:hAnsi="宋体"/>
        </w:rPr>
      </w:pPr>
      <w:bookmarkStart w:id="872" w:name="_Toc17643028"/>
      <w:bookmarkStart w:id="873" w:name="_Toc17642872"/>
      <w:r>
        <w:rPr>
          <w:rFonts w:hint="eastAsia"/>
        </w:rPr>
        <w:t>8.1.5.1</w:t>
      </w:r>
      <w:r>
        <w:rPr>
          <w:rFonts w:hint="eastAsia" w:hAnsi="宋体"/>
        </w:rPr>
        <w:t>试验场景要求</w:t>
      </w:r>
      <w:bookmarkEnd w:id="872"/>
      <w:bookmarkEnd w:id="873"/>
    </w:p>
    <w:p>
      <w:pPr>
        <w:pStyle w:val="27"/>
      </w:pPr>
      <w:r>
        <w:rPr>
          <w:rFonts w:hint="eastAsia"/>
        </w:rPr>
        <w:t>终端正常运行情况下，模拟终端与车辆信号连接线断开的操作，进行试验。</w:t>
      </w:r>
    </w:p>
    <w:p>
      <w:pPr>
        <w:pStyle w:val="62"/>
        <w:spacing w:before="156" w:after="156"/>
      </w:pPr>
      <w:bookmarkStart w:id="874" w:name="_Toc17643029"/>
      <w:bookmarkStart w:id="875" w:name="_Toc17642873"/>
      <w:r>
        <w:rPr>
          <w:rFonts w:hint="eastAsia"/>
        </w:rPr>
        <w:t>8.1.5.2试验步骤要求</w:t>
      </w:r>
      <w:bookmarkEnd w:id="874"/>
      <w:bookmarkEnd w:id="875"/>
    </w:p>
    <w:p>
      <w:pPr>
        <w:pStyle w:val="145"/>
        <w:numPr>
          <w:ilvl w:val="0"/>
          <w:numId w:val="45"/>
        </w:numPr>
        <w:tabs>
          <w:tab w:val="center" w:pos="4201"/>
          <w:tab w:val="right" w:leader="dot" w:pos="9298"/>
        </w:tabs>
        <w:rPr>
          <w:szCs w:val="22"/>
        </w:rPr>
      </w:pPr>
      <w:r>
        <w:rPr>
          <w:szCs w:val="22"/>
        </w:rPr>
        <w:t>运行终端设备后，断开设备与车辆信号连接线，持续5s内，触发失效的正确报警，且在恢复信号连接后10s内解除报警；</w:t>
      </w:r>
    </w:p>
    <w:p>
      <w:pPr>
        <w:pStyle w:val="145"/>
        <w:numPr>
          <w:ilvl w:val="0"/>
          <w:numId w:val="45"/>
        </w:numPr>
        <w:tabs>
          <w:tab w:val="center" w:pos="4201"/>
          <w:tab w:val="right" w:leader="dot" w:pos="9298"/>
        </w:tabs>
        <w:rPr>
          <w:szCs w:val="22"/>
        </w:rPr>
      </w:pPr>
      <w:r>
        <w:rPr>
          <w:szCs w:val="22"/>
        </w:rPr>
        <w:t>运行终端设备后，以不透光物体完全遮挡ADAS摄像头，持续5s内，触发失效的正确报警，取掉遮挡物后10s内解除报警；</w:t>
      </w:r>
    </w:p>
    <w:p>
      <w:pPr>
        <w:pStyle w:val="145"/>
        <w:numPr>
          <w:ilvl w:val="0"/>
          <w:numId w:val="45"/>
        </w:numPr>
        <w:tabs>
          <w:tab w:val="center" w:pos="4201"/>
          <w:tab w:val="right" w:leader="dot" w:pos="9298"/>
        </w:tabs>
        <w:rPr>
          <w:szCs w:val="22"/>
        </w:rPr>
      </w:pPr>
      <w:r>
        <w:rPr>
          <w:szCs w:val="22"/>
        </w:rPr>
        <w:t>在满足测试条件下，要求连续测试次数不小于七次。</w:t>
      </w:r>
    </w:p>
    <w:p>
      <w:pPr>
        <w:pStyle w:val="62"/>
        <w:spacing w:before="156" w:after="156"/>
      </w:pPr>
      <w:bookmarkStart w:id="876" w:name="_Toc17642874"/>
      <w:bookmarkStart w:id="877" w:name="_Toc17643030"/>
      <w:r>
        <w:rPr>
          <w:rFonts w:hint="eastAsia"/>
        </w:rPr>
        <w:t>8.1.5.3试验结果分析</w:t>
      </w:r>
      <w:bookmarkEnd w:id="876"/>
      <w:bookmarkEnd w:id="877"/>
    </w:p>
    <w:p>
      <w:pPr>
        <w:pStyle w:val="27"/>
        <w:rPr>
          <w:rFonts w:hint="eastAsia"/>
        </w:rPr>
      </w:pPr>
      <w:r>
        <w:rPr>
          <w:rFonts w:hint="eastAsia"/>
        </w:rPr>
        <w:t>终端</w:t>
      </w:r>
      <w:r>
        <w:t>应通过该</w:t>
      </w:r>
      <w:r>
        <w:rPr>
          <w:rFonts w:hint="eastAsia"/>
        </w:rPr>
        <w:t>七</w:t>
      </w:r>
      <w:r>
        <w:t>次测试中的</w:t>
      </w:r>
      <w:r>
        <w:rPr>
          <w:rFonts w:hint="eastAsia"/>
        </w:rPr>
        <w:t>五</w:t>
      </w:r>
      <w:r>
        <w:t>次，且不能连续两次测试失败</w:t>
      </w:r>
      <w:r>
        <w:rPr>
          <w:rFonts w:hint="eastAsia"/>
        </w:rPr>
        <w:t>，则判定本项测试通过。</w:t>
      </w:r>
    </w:p>
    <w:bookmarkEnd w:id="825"/>
    <w:p>
      <w:pPr>
        <w:pStyle w:val="64"/>
        <w:ind w:hanging="709" w:hangingChars="338"/>
      </w:pPr>
      <w:bookmarkStart w:id="878" w:name="_Toc24070"/>
      <w:bookmarkStart w:id="879" w:name="_Toc17643031"/>
      <w:bookmarkStart w:id="880" w:name="_Toc17642875"/>
      <w:bookmarkStart w:id="881" w:name="_Toc17643172"/>
      <w:bookmarkStart w:id="882" w:name="_Toc17565902"/>
      <w:bookmarkStart w:id="883" w:name="_Toc18138084"/>
      <w:bookmarkStart w:id="884" w:name="_Toc18102119"/>
      <w:bookmarkStart w:id="885" w:name="_Toc8033_WPSOffice_Level1"/>
      <w:bookmarkStart w:id="886" w:name="_Toc11233_WPSOffice_Level1"/>
      <w:bookmarkStart w:id="887" w:name="_Toc13665103"/>
      <w:r>
        <w:rPr>
          <w:rFonts w:hint="eastAsia"/>
        </w:rPr>
        <w:t>驾驶员状态监测检测项目及方法(DSM)</w:t>
      </w:r>
      <w:bookmarkEnd w:id="878"/>
      <w:bookmarkEnd w:id="879"/>
      <w:bookmarkEnd w:id="880"/>
      <w:bookmarkEnd w:id="881"/>
      <w:bookmarkEnd w:id="882"/>
      <w:bookmarkEnd w:id="883"/>
      <w:bookmarkEnd w:id="884"/>
      <w:bookmarkEnd w:id="885"/>
      <w:bookmarkEnd w:id="886"/>
      <w:bookmarkEnd w:id="887"/>
      <w:bookmarkStart w:id="888" w:name="_Toc20057"/>
    </w:p>
    <w:bookmarkEnd w:id="888"/>
    <w:p>
      <w:pPr>
        <w:pStyle w:val="63"/>
        <w:spacing w:before="156" w:after="156"/>
      </w:pPr>
      <w:bookmarkStart w:id="889" w:name="_Toc13330"/>
      <w:bookmarkStart w:id="890" w:name="_Toc17643032"/>
      <w:bookmarkStart w:id="891" w:name="_Toc13660697"/>
      <w:bookmarkStart w:id="892" w:name="_Toc17642876"/>
      <w:bookmarkStart w:id="893" w:name="_Toc17643173"/>
      <w:bookmarkStart w:id="894" w:name="_Toc13665104"/>
      <w:bookmarkStart w:id="895" w:name="_Toc25381"/>
      <w:r>
        <w:rPr>
          <w:rFonts w:hint="eastAsia"/>
        </w:rPr>
        <w:t>疲劳驾驶报警</w:t>
      </w:r>
      <w:bookmarkEnd w:id="889"/>
      <w:bookmarkEnd w:id="890"/>
      <w:bookmarkEnd w:id="891"/>
      <w:bookmarkEnd w:id="892"/>
      <w:bookmarkEnd w:id="893"/>
      <w:bookmarkEnd w:id="894"/>
      <w:bookmarkEnd w:id="895"/>
    </w:p>
    <w:p>
      <w:pPr>
        <w:pStyle w:val="62"/>
        <w:spacing w:before="156" w:after="156"/>
        <w:rPr>
          <w:rFonts w:ascii="Calibri" w:hAnsi="Calibri"/>
          <w:szCs w:val="32"/>
        </w:rPr>
      </w:pPr>
      <w:bookmarkStart w:id="896" w:name="_Toc17642877"/>
      <w:bookmarkStart w:id="897" w:name="_Toc17643033"/>
      <w:r>
        <w:rPr>
          <w:rFonts w:hint="eastAsia"/>
        </w:rPr>
        <w:t>8.2.1.1</w:t>
      </w:r>
      <w:r>
        <w:rPr>
          <w:rFonts w:hint="eastAsia" w:ascii="Calibri" w:hAnsi="Calibri"/>
          <w:szCs w:val="32"/>
        </w:rPr>
        <w:t>试验场景要求</w:t>
      </w:r>
      <w:bookmarkEnd w:id="896"/>
      <w:bookmarkEnd w:id="897"/>
    </w:p>
    <w:p>
      <w:pPr>
        <w:pStyle w:val="27"/>
      </w:pPr>
      <w:r>
        <w:rPr>
          <w:rFonts w:hint="eastAsia"/>
        </w:rPr>
        <w:t>终端设置大于10km</w:t>
      </w:r>
      <w:r>
        <w:t>/h</w:t>
      </w:r>
      <w:r>
        <w:rPr>
          <w:rFonts w:hint="eastAsia"/>
        </w:rPr>
        <w:t>的模拟车速，在室外或室内模拟的白天、夜晚、顺光、逆光、侧光、树荫阳光交替闪烁、车辆震动环境条件和驾驶员佩戴帽子、眼镜、墨镜（红外可穿透）、口罩的场景组合进行试验；</w:t>
      </w:r>
    </w:p>
    <w:p>
      <w:pPr>
        <w:pStyle w:val="62"/>
        <w:spacing w:before="156" w:after="156"/>
        <w:rPr>
          <w:rFonts w:ascii="Calibri" w:hAnsi="Calibri"/>
          <w:szCs w:val="32"/>
        </w:rPr>
      </w:pPr>
      <w:bookmarkStart w:id="898" w:name="_Toc17643034"/>
      <w:bookmarkStart w:id="899" w:name="_Toc17642878"/>
      <w:r>
        <w:rPr>
          <w:rFonts w:hint="eastAsia"/>
        </w:rPr>
        <w:t>8.2.1.2</w:t>
      </w:r>
      <w:r>
        <w:rPr>
          <w:rFonts w:hint="eastAsia" w:ascii="Calibri" w:hAnsi="Calibri"/>
          <w:szCs w:val="32"/>
        </w:rPr>
        <w:t>实验步骤要求</w:t>
      </w:r>
      <w:bookmarkEnd w:id="898"/>
      <w:bookmarkEnd w:id="899"/>
    </w:p>
    <w:p>
      <w:pPr>
        <w:pStyle w:val="145"/>
        <w:numPr>
          <w:ilvl w:val="0"/>
          <w:numId w:val="46"/>
        </w:numPr>
        <w:tabs>
          <w:tab w:val="center" w:pos="4201"/>
          <w:tab w:val="right" w:leader="dot" w:pos="9298"/>
        </w:tabs>
        <w:rPr>
          <w:szCs w:val="22"/>
        </w:rPr>
      </w:pPr>
      <w:r>
        <w:rPr>
          <w:szCs w:val="22"/>
        </w:rPr>
        <w:t>驾驶员做闭眼动作，动作时间2s，动作结束后2s内，发出疲劳驾驶的正确报警。测试次数不低于60次（各场景下至少测试两次），动作间隔不低于5s，准确率在95%以上；</w:t>
      </w:r>
    </w:p>
    <w:p>
      <w:pPr>
        <w:pStyle w:val="145"/>
        <w:numPr>
          <w:ilvl w:val="0"/>
          <w:numId w:val="46"/>
        </w:numPr>
        <w:tabs>
          <w:tab w:val="center" w:pos="4201"/>
          <w:tab w:val="right" w:leader="dot" w:pos="9298"/>
        </w:tabs>
        <w:rPr>
          <w:szCs w:val="22"/>
        </w:rPr>
      </w:pPr>
      <w:r>
        <w:rPr>
          <w:szCs w:val="22"/>
        </w:rPr>
        <w:t>驾驶员做眨眼动作，动作时间2s，动作结束后2s内，发出疲劳驾驶的正确报警。测试次数不低于60次（各场景下至少测试两次），动作间隔不低于5s，准确率在95%以上；</w:t>
      </w:r>
    </w:p>
    <w:p>
      <w:pPr>
        <w:pStyle w:val="145"/>
        <w:numPr>
          <w:ilvl w:val="0"/>
          <w:numId w:val="46"/>
        </w:numPr>
        <w:tabs>
          <w:tab w:val="center" w:pos="4201"/>
          <w:tab w:val="right" w:leader="dot" w:pos="9298"/>
        </w:tabs>
        <w:rPr>
          <w:szCs w:val="22"/>
        </w:rPr>
      </w:pPr>
      <w:r>
        <w:rPr>
          <w:szCs w:val="22"/>
        </w:rPr>
        <w:t>驾驶员做打哈欠动作，动作时间2s，动作结束后2s内，发出疲劳驾驶的正确报警。测试次数不低于60次（各场景下至少测试两次），动作间隔不低于5s，准确率在95%以上；</w:t>
      </w:r>
    </w:p>
    <w:p>
      <w:pPr>
        <w:pStyle w:val="145"/>
        <w:numPr>
          <w:ilvl w:val="0"/>
          <w:numId w:val="46"/>
        </w:numPr>
        <w:tabs>
          <w:tab w:val="center" w:pos="4201"/>
          <w:tab w:val="right" w:leader="dot" w:pos="9298"/>
        </w:tabs>
        <w:rPr>
          <w:szCs w:val="22"/>
        </w:rPr>
      </w:pPr>
      <w:r>
        <w:rPr>
          <w:szCs w:val="22"/>
        </w:rPr>
        <w:t>驾驶员做出疲劳状态下的单眼闭眼动作，动作时间2s，动作结束后2s内，发出疲劳驾驶的正确报警。测试次数不低于60次（各场景下至少测试两次），动作间隔不低于5s，准确率在95%以上；</w:t>
      </w:r>
    </w:p>
    <w:p>
      <w:pPr>
        <w:pStyle w:val="145"/>
        <w:numPr>
          <w:ilvl w:val="0"/>
          <w:numId w:val="46"/>
        </w:numPr>
        <w:tabs>
          <w:tab w:val="center" w:pos="4201"/>
          <w:tab w:val="right" w:leader="dot" w:pos="9298"/>
        </w:tabs>
        <w:rPr>
          <w:szCs w:val="22"/>
        </w:rPr>
      </w:pPr>
      <w:r>
        <w:rPr>
          <w:szCs w:val="22"/>
        </w:rPr>
        <w:t>驾驶员在同时佩戴镀膜墨镜（红外可穿透）和口罩的场景下，做出闭眼动作，动作时间2s，动作结束后2s内，发出疲劳驾驶的正确报警。测试次数不低于60次（各场景下至少测试两次），动作间隔不低于5s，准确率在95%以上。</w:t>
      </w:r>
    </w:p>
    <w:p>
      <w:pPr>
        <w:pStyle w:val="145"/>
        <w:numPr>
          <w:ilvl w:val="0"/>
          <w:numId w:val="46"/>
        </w:numPr>
        <w:tabs>
          <w:tab w:val="center" w:pos="4201"/>
          <w:tab w:val="right" w:leader="dot" w:pos="9298"/>
        </w:tabs>
        <w:rPr>
          <w:szCs w:val="22"/>
        </w:rPr>
      </w:pPr>
      <w:r>
        <w:rPr>
          <w:szCs w:val="22"/>
        </w:rPr>
        <w:t>驾驶员做眯眼动作，动作时间持续5s，动作结束后2s内，设备不得发出疲劳驾驶的报警。测试次数不低于60次（各场景下至少测试两次），动作间隔不低于10s，设备误报率要求等于0；</w:t>
      </w:r>
    </w:p>
    <w:p>
      <w:pPr>
        <w:pStyle w:val="145"/>
        <w:numPr>
          <w:ilvl w:val="0"/>
          <w:numId w:val="46"/>
        </w:numPr>
        <w:tabs>
          <w:tab w:val="center" w:pos="4201"/>
          <w:tab w:val="right" w:leader="dot" w:pos="9298"/>
        </w:tabs>
        <w:rPr>
          <w:szCs w:val="22"/>
        </w:rPr>
      </w:pPr>
      <w:r>
        <w:rPr>
          <w:szCs w:val="22"/>
        </w:rPr>
        <w:t>驾驶员同时做出眨眼、打哈欠动作，动作时间2s，动作结束后2s内，发出疲劳驾驶的正确报警。测试次数不低于60次（各场景下至少测试两次），动作间隔不低于5s，准确率在90%以上。</w:t>
      </w:r>
    </w:p>
    <w:p>
      <w:pPr>
        <w:pStyle w:val="62"/>
        <w:spacing w:before="156" w:after="156"/>
        <w:rPr>
          <w:rFonts w:hint="eastAsia"/>
        </w:rPr>
      </w:pPr>
      <w:bookmarkStart w:id="900" w:name="_Toc17642879"/>
      <w:bookmarkStart w:id="901" w:name="_Toc17643035"/>
      <w:r>
        <w:rPr>
          <w:rFonts w:hint="eastAsia"/>
        </w:rPr>
        <w:t>8.2.1.3试验结果分析</w:t>
      </w:r>
      <w:bookmarkEnd w:id="900"/>
      <w:bookmarkEnd w:id="901"/>
    </w:p>
    <w:p>
      <w:pPr>
        <w:pStyle w:val="27"/>
      </w:pPr>
      <w:r>
        <w:rPr>
          <w:rFonts w:hint="eastAsia"/>
        </w:rPr>
        <w:t>将终端疲劳驾驶报警情况与预期结果进行对比判定，判定过程如下：</w:t>
      </w:r>
    </w:p>
    <w:p>
      <w:pPr>
        <w:pStyle w:val="145"/>
        <w:numPr>
          <w:ilvl w:val="0"/>
          <w:numId w:val="47"/>
        </w:numPr>
        <w:tabs>
          <w:tab w:val="center" w:pos="4201"/>
          <w:tab w:val="right" w:leader="dot" w:pos="9298"/>
        </w:tabs>
        <w:rPr>
          <w:rFonts w:hint="eastAsia"/>
          <w:szCs w:val="22"/>
        </w:rPr>
      </w:pPr>
      <w:r>
        <w:rPr>
          <w:rFonts w:hint="eastAsia"/>
          <w:szCs w:val="22"/>
        </w:rPr>
        <w:t>疲劳驾驶报警类型正确且报警时间在有效报警区间内时，判定未一次有效报警；</w:t>
      </w:r>
    </w:p>
    <w:p>
      <w:pPr>
        <w:pStyle w:val="145"/>
        <w:numPr>
          <w:ilvl w:val="0"/>
          <w:numId w:val="47"/>
        </w:numPr>
        <w:tabs>
          <w:tab w:val="center" w:pos="4201"/>
          <w:tab w:val="right" w:leader="dot" w:pos="9298"/>
        </w:tabs>
        <w:rPr>
          <w:rFonts w:hint="eastAsia"/>
          <w:szCs w:val="22"/>
        </w:rPr>
      </w:pPr>
      <w:r>
        <w:rPr>
          <w:rFonts w:hint="eastAsia"/>
          <w:szCs w:val="22"/>
        </w:rPr>
        <w:t>疲劳驾驶报警类型错误、报警时间不在有效报警区间内、对异常状态未产生报警或对正常状态产生报警，判定为一次误报，并记录此次误报报警类型；</w:t>
      </w:r>
    </w:p>
    <w:p>
      <w:pPr>
        <w:pStyle w:val="145"/>
        <w:numPr>
          <w:ilvl w:val="0"/>
          <w:numId w:val="47"/>
        </w:numPr>
        <w:tabs>
          <w:tab w:val="center" w:pos="4201"/>
          <w:tab w:val="right" w:leader="dot" w:pos="9298"/>
        </w:tabs>
        <w:rPr>
          <w:rFonts w:hint="eastAsia"/>
          <w:szCs w:val="22"/>
        </w:rPr>
      </w:pPr>
      <w:r>
        <w:rPr>
          <w:rFonts w:hint="eastAsia"/>
          <w:szCs w:val="22"/>
        </w:rPr>
        <w:t>完成试验步骤中要求的测试次数，根据</w:t>
      </w:r>
      <w:r>
        <w:rPr>
          <w:szCs w:val="22"/>
        </w:rPr>
        <w:t>3.6章节的公式计算出</w:t>
      </w:r>
      <w:r>
        <w:rPr>
          <w:rFonts w:hint="eastAsia"/>
          <w:szCs w:val="22"/>
        </w:rPr>
        <w:t>报警准确率；</w:t>
      </w:r>
    </w:p>
    <w:p>
      <w:pPr>
        <w:pStyle w:val="145"/>
        <w:numPr>
          <w:ilvl w:val="0"/>
          <w:numId w:val="47"/>
        </w:numPr>
        <w:tabs>
          <w:tab w:val="center" w:pos="4201"/>
          <w:tab w:val="right" w:leader="dot" w:pos="9298"/>
        </w:tabs>
        <w:rPr>
          <w:rFonts w:hint="eastAsia"/>
          <w:szCs w:val="22"/>
        </w:rPr>
      </w:pPr>
      <w:r>
        <w:rPr>
          <w:rFonts w:hint="eastAsia"/>
          <w:szCs w:val="22"/>
        </w:rPr>
        <w:t>试验步骤中所有分项的准确率、误报率达到预期的要求，则本项试验通过；</w:t>
      </w:r>
    </w:p>
    <w:p>
      <w:pPr>
        <w:pStyle w:val="63"/>
        <w:spacing w:before="156" w:after="156"/>
      </w:pPr>
      <w:bookmarkStart w:id="902" w:name="_Toc17643174"/>
      <w:bookmarkStart w:id="903" w:name="_Toc13665105"/>
      <w:bookmarkStart w:id="904" w:name="_Toc17642880"/>
      <w:bookmarkStart w:id="905" w:name="_Toc13660698"/>
      <w:bookmarkStart w:id="906" w:name="_Toc19237"/>
      <w:bookmarkStart w:id="907" w:name="_Toc29903"/>
      <w:bookmarkStart w:id="908" w:name="_Toc5907"/>
      <w:bookmarkStart w:id="909" w:name="_Toc17643036"/>
      <w:r>
        <w:rPr>
          <w:rFonts w:hint="eastAsia"/>
        </w:rPr>
        <w:t>接打手持电话报警</w:t>
      </w:r>
      <w:bookmarkEnd w:id="902"/>
      <w:bookmarkEnd w:id="903"/>
      <w:bookmarkEnd w:id="904"/>
      <w:bookmarkEnd w:id="905"/>
      <w:bookmarkEnd w:id="906"/>
      <w:bookmarkEnd w:id="907"/>
      <w:bookmarkEnd w:id="908"/>
      <w:bookmarkEnd w:id="909"/>
    </w:p>
    <w:p>
      <w:pPr>
        <w:pStyle w:val="62"/>
        <w:spacing w:before="156" w:after="156"/>
      </w:pPr>
      <w:bookmarkStart w:id="910" w:name="_Toc17642881"/>
      <w:bookmarkStart w:id="911" w:name="_Toc17643037"/>
      <w:r>
        <w:rPr>
          <w:rFonts w:hint="eastAsia"/>
        </w:rPr>
        <w:t>8.2.2.1试验场景要求</w:t>
      </w:r>
      <w:bookmarkEnd w:id="910"/>
      <w:bookmarkEnd w:id="911"/>
    </w:p>
    <w:p>
      <w:pPr>
        <w:pStyle w:val="27"/>
      </w:pPr>
      <w:r>
        <w:rPr>
          <w:rFonts w:hint="eastAsia"/>
        </w:rPr>
        <w:t>终端设置大于10km</w:t>
      </w:r>
      <w:r>
        <w:t>/h</w:t>
      </w:r>
      <w:r>
        <w:rPr>
          <w:rFonts w:hint="eastAsia"/>
        </w:rPr>
        <w:t>的模拟车速，在室外或室内模拟的白天、夜晚、顺光、逆光、侧光、树荫阳光交替闪烁、车辆震动环境条件的场景进行试验。</w:t>
      </w:r>
    </w:p>
    <w:p>
      <w:pPr>
        <w:pStyle w:val="62"/>
        <w:spacing w:before="156" w:after="156"/>
      </w:pPr>
      <w:bookmarkStart w:id="912" w:name="_Toc17642882"/>
      <w:bookmarkStart w:id="913" w:name="_Toc17643038"/>
      <w:r>
        <w:rPr>
          <w:rFonts w:hint="eastAsia"/>
        </w:rPr>
        <w:t>8.2.2.2试验步骤要求</w:t>
      </w:r>
      <w:bookmarkEnd w:id="912"/>
      <w:bookmarkEnd w:id="913"/>
    </w:p>
    <w:p>
      <w:pPr>
        <w:pStyle w:val="145"/>
        <w:numPr>
          <w:ilvl w:val="0"/>
          <w:numId w:val="48"/>
        </w:numPr>
        <w:tabs>
          <w:tab w:val="center" w:pos="4201"/>
          <w:tab w:val="right" w:leader="dot" w:pos="9298"/>
        </w:tabs>
        <w:rPr>
          <w:rFonts w:hint="eastAsia"/>
          <w:szCs w:val="22"/>
        </w:rPr>
      </w:pPr>
      <w:r>
        <w:rPr>
          <w:rFonts w:hint="eastAsia"/>
          <w:szCs w:val="22"/>
        </w:rPr>
        <w:t>驾驶员手持电话物品做出接打手持电话动作，动作时间3s，动作结束后2s内，发出接打手持电话的正确报警。测试次数不低于30次（各场景下至少测试两次），动作间隔不低于5s，准确率在95%以上；</w:t>
      </w:r>
    </w:p>
    <w:p>
      <w:pPr>
        <w:pStyle w:val="145"/>
        <w:numPr>
          <w:ilvl w:val="0"/>
          <w:numId w:val="48"/>
        </w:numPr>
        <w:tabs>
          <w:tab w:val="center" w:pos="4201"/>
          <w:tab w:val="right" w:leader="dot" w:pos="9298"/>
        </w:tabs>
        <w:rPr>
          <w:rFonts w:hint="eastAsia"/>
          <w:szCs w:val="22"/>
        </w:rPr>
      </w:pPr>
      <w:r>
        <w:rPr>
          <w:rFonts w:hint="eastAsia"/>
          <w:szCs w:val="22"/>
        </w:rPr>
        <w:t>9.4.2.2.2驾驶员手持电话物品放置在嘴部周围做出讲语音动作，动作时间3s，动作结束后2s内，发出接打手持电话的正确报警。测试次数不低于30次（各场景下至少测试两次），动作间隔不低于5s，准确率在95%以上；</w:t>
      </w:r>
    </w:p>
    <w:p>
      <w:pPr>
        <w:pStyle w:val="145"/>
        <w:numPr>
          <w:ilvl w:val="0"/>
          <w:numId w:val="48"/>
        </w:numPr>
        <w:tabs>
          <w:tab w:val="center" w:pos="4201"/>
          <w:tab w:val="right" w:leader="dot" w:pos="9298"/>
        </w:tabs>
        <w:rPr>
          <w:rFonts w:hint="eastAsia"/>
          <w:szCs w:val="22"/>
        </w:rPr>
      </w:pPr>
      <w:r>
        <w:rPr>
          <w:rFonts w:hint="eastAsia"/>
          <w:szCs w:val="22"/>
        </w:rPr>
        <w:t>9.4.2.2.3驾驶员不拿手持电话物品做出接打手持电话手势，动作时间5s，动作结束后2s内，设备不得发出接打手持电话的报警。测试次数不低于60次（各场景下至少测试两次），动作间隔不低于10s，设备误报率要求等于0；</w:t>
      </w:r>
    </w:p>
    <w:p>
      <w:pPr>
        <w:pStyle w:val="145"/>
        <w:numPr>
          <w:ilvl w:val="0"/>
          <w:numId w:val="48"/>
        </w:numPr>
        <w:tabs>
          <w:tab w:val="center" w:pos="4201"/>
          <w:tab w:val="right" w:leader="dot" w:pos="9298"/>
        </w:tabs>
        <w:rPr>
          <w:rFonts w:hint="eastAsia"/>
          <w:szCs w:val="22"/>
        </w:rPr>
      </w:pPr>
      <w:r>
        <w:rPr>
          <w:rFonts w:hint="eastAsia"/>
          <w:szCs w:val="22"/>
        </w:rPr>
        <w:t>9.4.2.2.4驾驶员完成手持电话物品和接打电话综合动作，动作持续时间3s，动作结束后2s内，发出接打手持电话的正确报警。测试次数不低于30次（各场景下至少测试两次），动作间隔不低于5s，准确率在90%以上。</w:t>
      </w:r>
    </w:p>
    <w:p>
      <w:pPr>
        <w:pStyle w:val="62"/>
        <w:spacing w:before="156" w:after="156"/>
      </w:pPr>
      <w:bookmarkStart w:id="914" w:name="_Toc17642883"/>
      <w:bookmarkStart w:id="915" w:name="_Toc17643039"/>
      <w:r>
        <w:rPr>
          <w:rFonts w:hint="eastAsia"/>
        </w:rPr>
        <w:t>8.2.2.3试验结果分析</w:t>
      </w:r>
      <w:bookmarkEnd w:id="914"/>
      <w:bookmarkEnd w:id="915"/>
    </w:p>
    <w:p>
      <w:pPr>
        <w:pStyle w:val="27"/>
      </w:pPr>
      <w:r>
        <w:rPr>
          <w:rFonts w:hint="eastAsia"/>
        </w:rPr>
        <w:t>将终端接打电话报警情况与预期结果进行对比判定，判定过程如下：</w:t>
      </w:r>
    </w:p>
    <w:p>
      <w:pPr>
        <w:pStyle w:val="145"/>
        <w:numPr>
          <w:ilvl w:val="0"/>
          <w:numId w:val="49"/>
        </w:numPr>
        <w:tabs>
          <w:tab w:val="center" w:pos="4201"/>
          <w:tab w:val="right" w:leader="dot" w:pos="9298"/>
        </w:tabs>
        <w:rPr>
          <w:rFonts w:hint="eastAsia"/>
          <w:szCs w:val="22"/>
        </w:rPr>
      </w:pPr>
      <w:r>
        <w:rPr>
          <w:rFonts w:hint="eastAsia"/>
          <w:szCs w:val="22"/>
        </w:rPr>
        <w:t>接打电话报警类型正确且报警时间在有效报警区间内时，判定未一次有效报警；</w:t>
      </w:r>
    </w:p>
    <w:p>
      <w:pPr>
        <w:pStyle w:val="145"/>
        <w:numPr>
          <w:ilvl w:val="0"/>
          <w:numId w:val="49"/>
        </w:numPr>
        <w:tabs>
          <w:tab w:val="center" w:pos="4201"/>
          <w:tab w:val="right" w:leader="dot" w:pos="9298"/>
        </w:tabs>
        <w:rPr>
          <w:rFonts w:hint="eastAsia"/>
          <w:szCs w:val="22"/>
        </w:rPr>
      </w:pPr>
      <w:r>
        <w:rPr>
          <w:rFonts w:hint="eastAsia"/>
          <w:szCs w:val="22"/>
        </w:rPr>
        <w:t>接打电话报警类型错误、报警时间不在有效报警区间内、对异常状态未产生报警或对正常状态产生报警，判定为一次误报，并记录此次误报报警类型；</w:t>
      </w:r>
    </w:p>
    <w:p>
      <w:pPr>
        <w:pStyle w:val="145"/>
        <w:numPr>
          <w:ilvl w:val="0"/>
          <w:numId w:val="49"/>
        </w:numPr>
        <w:tabs>
          <w:tab w:val="center" w:pos="4201"/>
          <w:tab w:val="right" w:leader="dot" w:pos="9298"/>
        </w:tabs>
        <w:rPr>
          <w:rFonts w:hint="eastAsia"/>
          <w:szCs w:val="22"/>
        </w:rPr>
      </w:pPr>
      <w:r>
        <w:rPr>
          <w:rFonts w:hint="eastAsia"/>
          <w:szCs w:val="22"/>
        </w:rPr>
        <w:t>完成试验步骤中要求的测试次数，根据3.6章节的公式计算出报警准确率；</w:t>
      </w:r>
    </w:p>
    <w:p>
      <w:pPr>
        <w:pStyle w:val="145"/>
        <w:numPr>
          <w:ilvl w:val="0"/>
          <w:numId w:val="49"/>
        </w:numPr>
        <w:tabs>
          <w:tab w:val="center" w:pos="4201"/>
          <w:tab w:val="right" w:leader="dot" w:pos="9298"/>
        </w:tabs>
        <w:rPr>
          <w:rFonts w:hint="eastAsia"/>
          <w:szCs w:val="22"/>
        </w:rPr>
      </w:pPr>
      <w:r>
        <w:rPr>
          <w:rFonts w:hint="eastAsia"/>
          <w:szCs w:val="22"/>
        </w:rPr>
        <w:t>试验步骤中所有分项的准确率、误报率达到预期的要求，则本项试验通过。</w:t>
      </w:r>
    </w:p>
    <w:p>
      <w:pPr>
        <w:pStyle w:val="63"/>
        <w:spacing w:before="156" w:after="156"/>
      </w:pPr>
      <w:bookmarkStart w:id="916" w:name="_Toc25168"/>
      <w:bookmarkStart w:id="917" w:name="_Toc11595"/>
      <w:bookmarkStart w:id="918" w:name="_Toc8826"/>
      <w:bookmarkStart w:id="919" w:name="_Toc17643040"/>
      <w:bookmarkStart w:id="920" w:name="_Toc17642884"/>
      <w:bookmarkStart w:id="921" w:name="_Toc13660699"/>
      <w:bookmarkStart w:id="922" w:name="_Toc17643175"/>
      <w:bookmarkStart w:id="923" w:name="_Toc13665106"/>
      <w:r>
        <w:rPr>
          <w:rFonts w:hint="eastAsia"/>
        </w:rPr>
        <w:t>长时间不目视前方报警</w:t>
      </w:r>
      <w:bookmarkEnd w:id="916"/>
      <w:bookmarkEnd w:id="917"/>
      <w:bookmarkEnd w:id="918"/>
      <w:bookmarkEnd w:id="919"/>
      <w:bookmarkEnd w:id="920"/>
      <w:bookmarkEnd w:id="921"/>
      <w:bookmarkEnd w:id="922"/>
      <w:bookmarkEnd w:id="923"/>
    </w:p>
    <w:p>
      <w:pPr>
        <w:pStyle w:val="62"/>
        <w:spacing w:before="156" w:after="156"/>
      </w:pPr>
      <w:bookmarkStart w:id="924" w:name="_Toc17642885"/>
      <w:bookmarkStart w:id="925" w:name="_Toc17643041"/>
      <w:r>
        <w:rPr>
          <w:rFonts w:hint="eastAsia"/>
        </w:rPr>
        <w:t>8.2.3.1试验场景要求</w:t>
      </w:r>
      <w:bookmarkEnd w:id="924"/>
      <w:bookmarkEnd w:id="925"/>
    </w:p>
    <w:p>
      <w:pPr>
        <w:pStyle w:val="27"/>
      </w:pPr>
      <w:r>
        <w:rPr>
          <w:rFonts w:hint="eastAsia"/>
        </w:rPr>
        <w:t>终端设置大于10km</w:t>
      </w:r>
      <w:r>
        <w:t>/h</w:t>
      </w:r>
      <w:r>
        <w:rPr>
          <w:rFonts w:hint="eastAsia"/>
        </w:rPr>
        <w:t>的模拟车速，在室外或室内模拟的白天、夜晚、顺光、逆光、侧光、树荫阳光交替闪烁、车辆震动环境条件和驾驶员佩戴帽子、眼镜、墨镜（红外可穿透）、口罩的场景组合进行试验。</w:t>
      </w:r>
    </w:p>
    <w:p>
      <w:pPr>
        <w:pStyle w:val="62"/>
        <w:spacing w:before="156" w:after="156"/>
      </w:pPr>
      <w:bookmarkStart w:id="926" w:name="_Toc17642886"/>
      <w:bookmarkStart w:id="927" w:name="_Toc17643042"/>
      <w:r>
        <w:rPr>
          <w:rFonts w:hint="eastAsia"/>
        </w:rPr>
        <w:t>8.2.3.2试验步骤要求</w:t>
      </w:r>
      <w:bookmarkEnd w:id="926"/>
      <w:bookmarkEnd w:id="927"/>
    </w:p>
    <w:p>
      <w:pPr>
        <w:pStyle w:val="145"/>
        <w:numPr>
          <w:ilvl w:val="0"/>
          <w:numId w:val="50"/>
        </w:numPr>
        <w:tabs>
          <w:tab w:val="center" w:pos="4201"/>
          <w:tab w:val="right" w:leader="dot" w:pos="9298"/>
        </w:tabs>
        <w:rPr>
          <w:rFonts w:hint="eastAsia"/>
          <w:szCs w:val="22"/>
        </w:rPr>
      </w:pPr>
      <w:r>
        <w:rPr>
          <w:rFonts w:hint="eastAsia"/>
          <w:szCs w:val="22"/>
        </w:rPr>
        <w:t>驾驶员头部分别偏转角度左、右≥45°，上、下≥20°，动作时间1s，动作结束后1s内，需发出长时间不目视前方的正确报警。测试次数共计不低于60次（各场景下至少测试两次），动作间隔不低于5s，各组动作准确率在90%以上；</w:t>
      </w:r>
    </w:p>
    <w:p>
      <w:pPr>
        <w:pStyle w:val="145"/>
        <w:numPr>
          <w:ilvl w:val="0"/>
          <w:numId w:val="50"/>
        </w:numPr>
        <w:tabs>
          <w:tab w:val="center" w:pos="4201"/>
          <w:tab w:val="right" w:leader="dot" w:pos="9298"/>
        </w:tabs>
        <w:rPr>
          <w:rFonts w:hint="eastAsia"/>
          <w:szCs w:val="22"/>
        </w:rPr>
      </w:pPr>
      <w:r>
        <w:rPr>
          <w:rFonts w:hint="eastAsia"/>
          <w:szCs w:val="22"/>
        </w:rPr>
        <w:t>驾驶员头部面向正前方，仅眼睛视线下瞟，动作时间1s，动作结束后1s内，需发出长时间不目视前方的正确报警。测试次数共计不低于60次（各场景下至少测试两次），动作间隔不低于5s，各组动作准确率在90%以上。</w:t>
      </w:r>
    </w:p>
    <w:p>
      <w:pPr>
        <w:pStyle w:val="62"/>
        <w:spacing w:before="156" w:after="156"/>
      </w:pPr>
      <w:bookmarkStart w:id="928" w:name="_Toc17642887"/>
      <w:bookmarkStart w:id="929" w:name="_Toc17643043"/>
      <w:r>
        <w:rPr>
          <w:rFonts w:hint="eastAsia"/>
        </w:rPr>
        <w:t>8.2.3.3试验结果分析</w:t>
      </w:r>
      <w:bookmarkEnd w:id="928"/>
      <w:bookmarkEnd w:id="929"/>
    </w:p>
    <w:p>
      <w:pPr>
        <w:pStyle w:val="27"/>
      </w:pPr>
      <w:r>
        <w:rPr>
          <w:rFonts w:hint="eastAsia"/>
        </w:rPr>
        <w:t>将终端不目视前方报警情况与预期结果进行对比判定，判定过程如下：</w:t>
      </w:r>
    </w:p>
    <w:p>
      <w:pPr>
        <w:pStyle w:val="145"/>
        <w:numPr>
          <w:ilvl w:val="0"/>
          <w:numId w:val="51"/>
        </w:numPr>
        <w:tabs>
          <w:tab w:val="center" w:pos="4201"/>
          <w:tab w:val="right" w:leader="dot" w:pos="9298"/>
        </w:tabs>
        <w:rPr>
          <w:rFonts w:hint="eastAsia"/>
          <w:szCs w:val="22"/>
        </w:rPr>
      </w:pPr>
      <w:r>
        <w:rPr>
          <w:rFonts w:hint="eastAsia"/>
          <w:szCs w:val="22"/>
        </w:rPr>
        <w:t>不目视前方报警类型正确且报警时间在有效报警区间内时，判定未一次有效报警；</w:t>
      </w:r>
    </w:p>
    <w:p>
      <w:pPr>
        <w:pStyle w:val="145"/>
        <w:numPr>
          <w:ilvl w:val="0"/>
          <w:numId w:val="51"/>
        </w:numPr>
        <w:tabs>
          <w:tab w:val="center" w:pos="4201"/>
          <w:tab w:val="right" w:leader="dot" w:pos="9298"/>
        </w:tabs>
        <w:rPr>
          <w:rFonts w:hint="eastAsia"/>
          <w:szCs w:val="22"/>
        </w:rPr>
      </w:pPr>
      <w:r>
        <w:rPr>
          <w:rFonts w:hint="eastAsia"/>
          <w:szCs w:val="22"/>
        </w:rPr>
        <w:t>不目视前方报警类型错误、报警时间不在有效报警区间内、对异常状态未产生报警或对正常状态产生报警，判定为一次误报，并记录此次误报报警类型；</w:t>
      </w:r>
    </w:p>
    <w:p>
      <w:pPr>
        <w:pStyle w:val="145"/>
        <w:numPr>
          <w:ilvl w:val="0"/>
          <w:numId w:val="51"/>
        </w:numPr>
        <w:tabs>
          <w:tab w:val="center" w:pos="4201"/>
          <w:tab w:val="right" w:leader="dot" w:pos="9298"/>
        </w:tabs>
        <w:rPr>
          <w:rFonts w:hint="eastAsia"/>
          <w:szCs w:val="22"/>
        </w:rPr>
      </w:pPr>
      <w:r>
        <w:rPr>
          <w:rFonts w:hint="eastAsia"/>
          <w:szCs w:val="22"/>
        </w:rPr>
        <w:t>完成试验步骤中要求的测试次数，根据3.6章节的公式计算出报警准确率；</w:t>
      </w:r>
    </w:p>
    <w:p>
      <w:pPr>
        <w:pStyle w:val="145"/>
        <w:numPr>
          <w:ilvl w:val="0"/>
          <w:numId w:val="51"/>
        </w:numPr>
        <w:tabs>
          <w:tab w:val="center" w:pos="4201"/>
          <w:tab w:val="right" w:leader="dot" w:pos="9298"/>
        </w:tabs>
        <w:rPr>
          <w:rFonts w:hint="eastAsia"/>
          <w:szCs w:val="22"/>
        </w:rPr>
      </w:pPr>
      <w:r>
        <w:rPr>
          <w:rFonts w:hint="eastAsia"/>
          <w:szCs w:val="22"/>
        </w:rPr>
        <w:t>试验步骤中所有分项的准确率达到90%以上，则本项试验通过。</w:t>
      </w:r>
    </w:p>
    <w:p>
      <w:pPr>
        <w:pStyle w:val="63"/>
        <w:spacing w:before="156" w:after="156"/>
      </w:pPr>
      <w:bookmarkStart w:id="930" w:name="_Toc13665107"/>
      <w:bookmarkStart w:id="931" w:name="_Toc17643044"/>
      <w:bookmarkStart w:id="932" w:name="_Toc14704"/>
      <w:bookmarkStart w:id="933" w:name="_Toc17643176"/>
      <w:bookmarkStart w:id="934" w:name="_Toc1162"/>
      <w:bookmarkStart w:id="935" w:name="_Toc13660700"/>
      <w:bookmarkStart w:id="936" w:name="_Toc17642888"/>
      <w:bookmarkStart w:id="937" w:name="_Toc20013"/>
      <w:r>
        <w:rPr>
          <w:rFonts w:hint="eastAsia"/>
        </w:rPr>
        <w:t>驾驶员不在驾驶位置报警</w:t>
      </w:r>
      <w:bookmarkEnd w:id="930"/>
      <w:bookmarkEnd w:id="931"/>
      <w:bookmarkEnd w:id="932"/>
      <w:bookmarkEnd w:id="933"/>
      <w:bookmarkEnd w:id="934"/>
      <w:bookmarkEnd w:id="935"/>
      <w:bookmarkEnd w:id="936"/>
      <w:bookmarkEnd w:id="937"/>
    </w:p>
    <w:p>
      <w:pPr>
        <w:pStyle w:val="62"/>
        <w:spacing w:before="156" w:after="156"/>
        <w:rPr>
          <w:rFonts w:hAnsi="黑体" w:cs="黑体"/>
        </w:rPr>
      </w:pPr>
      <w:bookmarkStart w:id="938" w:name="_Toc17642889"/>
      <w:bookmarkStart w:id="939" w:name="_Toc17643045"/>
      <w:r>
        <w:rPr>
          <w:rFonts w:hint="eastAsia"/>
        </w:rPr>
        <w:t>8.2.4.1</w:t>
      </w:r>
      <w:r>
        <w:rPr>
          <w:rFonts w:hint="eastAsia" w:hAnsi="黑体" w:cs="黑体"/>
        </w:rPr>
        <w:t>试验场景要求</w:t>
      </w:r>
      <w:bookmarkEnd w:id="938"/>
      <w:bookmarkEnd w:id="939"/>
    </w:p>
    <w:p>
      <w:pPr>
        <w:pStyle w:val="27"/>
      </w:pPr>
      <w:r>
        <w:rPr>
          <w:rFonts w:hint="eastAsia"/>
        </w:rPr>
        <w:t>终端设置大于10km</w:t>
      </w:r>
      <w:r>
        <w:t>/h</w:t>
      </w:r>
      <w:r>
        <w:rPr>
          <w:rFonts w:hint="eastAsia"/>
        </w:rPr>
        <w:t>的模拟车速，在室外或室内模拟的白天、夜晚、顺光、逆光、侧光、树荫阳光交替闪烁、车辆震动环境条件的场景（该场景</w:t>
      </w:r>
      <w:r>
        <w:t>背景不能为单一黑色背景</w:t>
      </w:r>
      <w:r>
        <w:rPr>
          <w:rFonts w:hint="eastAsia"/>
        </w:rPr>
        <w:t>）进行试验。</w:t>
      </w:r>
    </w:p>
    <w:p>
      <w:pPr>
        <w:pStyle w:val="62"/>
        <w:spacing w:before="156" w:after="156"/>
        <w:rPr>
          <w:rFonts w:ascii="仿宋" w:hAnsi="仿宋" w:eastAsia="仿宋"/>
        </w:rPr>
      </w:pPr>
      <w:bookmarkStart w:id="940" w:name="_Toc17642890"/>
      <w:bookmarkStart w:id="941" w:name="_Toc17643046"/>
      <w:r>
        <w:rPr>
          <w:rFonts w:hint="eastAsia"/>
        </w:rPr>
        <w:t>8.2.4.2</w:t>
      </w:r>
      <w:r>
        <w:rPr>
          <w:rFonts w:hint="eastAsia" w:cs="黑体"/>
        </w:rPr>
        <w:t>试验步骤要求</w:t>
      </w:r>
      <w:bookmarkEnd w:id="940"/>
      <w:bookmarkEnd w:id="941"/>
    </w:p>
    <w:p>
      <w:pPr>
        <w:pStyle w:val="145"/>
        <w:numPr>
          <w:ilvl w:val="0"/>
          <w:numId w:val="52"/>
        </w:numPr>
        <w:tabs>
          <w:tab w:val="center" w:pos="4201"/>
          <w:tab w:val="right" w:leader="dot" w:pos="9298"/>
        </w:tabs>
        <w:rPr>
          <w:rFonts w:hint="eastAsia"/>
          <w:szCs w:val="22"/>
        </w:rPr>
      </w:pPr>
      <w:r>
        <w:rPr>
          <w:rFonts w:hint="eastAsia"/>
          <w:szCs w:val="22"/>
        </w:rPr>
        <w:t>驾驶员做出离开座位的动作，动作结束后2s内，发出驾驶员不在驾驶位置的正确报警。</w:t>
      </w:r>
    </w:p>
    <w:p>
      <w:pPr>
        <w:pStyle w:val="145"/>
        <w:numPr>
          <w:ilvl w:val="0"/>
          <w:numId w:val="52"/>
        </w:numPr>
        <w:tabs>
          <w:tab w:val="center" w:pos="4201"/>
          <w:tab w:val="right" w:leader="dot" w:pos="9298"/>
        </w:tabs>
        <w:rPr>
          <w:rFonts w:hint="eastAsia"/>
          <w:szCs w:val="22"/>
        </w:rPr>
      </w:pPr>
      <w:r>
        <w:rPr>
          <w:rFonts w:hint="eastAsia"/>
          <w:szCs w:val="22"/>
        </w:rPr>
        <w:t>测试次数不低于30次（各场景下至少测试两次），动作间隔不低于5s，准确率在95%以上。</w:t>
      </w:r>
    </w:p>
    <w:p>
      <w:pPr>
        <w:pStyle w:val="62"/>
        <w:spacing w:before="156" w:after="156"/>
        <w:rPr>
          <w:rFonts w:hAnsi="黑体" w:cs="黑体"/>
        </w:rPr>
      </w:pPr>
      <w:bookmarkStart w:id="942" w:name="_Toc17643047"/>
      <w:bookmarkStart w:id="943" w:name="_Toc17642891"/>
      <w:r>
        <w:rPr>
          <w:rFonts w:hint="eastAsia"/>
        </w:rPr>
        <w:t>8.2.4.3</w:t>
      </w:r>
      <w:r>
        <w:rPr>
          <w:rFonts w:hint="eastAsia" w:hAnsi="黑体" w:cs="黑体"/>
        </w:rPr>
        <w:t>试验结果分析</w:t>
      </w:r>
      <w:bookmarkEnd w:id="942"/>
      <w:bookmarkEnd w:id="943"/>
    </w:p>
    <w:p>
      <w:pPr>
        <w:pStyle w:val="27"/>
      </w:pPr>
      <w:r>
        <w:rPr>
          <w:rFonts w:hint="eastAsia"/>
        </w:rPr>
        <w:t>将终端驾驶员不在驾驶位报警情况与预期结果进行对比判定，判定过程如下：</w:t>
      </w:r>
    </w:p>
    <w:p>
      <w:pPr>
        <w:pStyle w:val="145"/>
        <w:numPr>
          <w:ilvl w:val="0"/>
          <w:numId w:val="53"/>
        </w:numPr>
        <w:tabs>
          <w:tab w:val="center" w:pos="4201"/>
          <w:tab w:val="right" w:leader="dot" w:pos="9298"/>
        </w:tabs>
        <w:rPr>
          <w:rFonts w:hint="eastAsia"/>
          <w:szCs w:val="22"/>
        </w:rPr>
      </w:pPr>
      <w:r>
        <w:rPr>
          <w:rFonts w:hint="eastAsia"/>
          <w:szCs w:val="22"/>
        </w:rPr>
        <w:t>驾驶员不在驾驶位报警类型正确且报警时间在有效报警区间内时，判定未一次有效报警；</w:t>
      </w:r>
    </w:p>
    <w:p>
      <w:pPr>
        <w:pStyle w:val="145"/>
        <w:numPr>
          <w:ilvl w:val="0"/>
          <w:numId w:val="53"/>
        </w:numPr>
        <w:tabs>
          <w:tab w:val="center" w:pos="4201"/>
          <w:tab w:val="right" w:leader="dot" w:pos="9298"/>
        </w:tabs>
        <w:rPr>
          <w:rFonts w:hint="eastAsia"/>
          <w:szCs w:val="22"/>
        </w:rPr>
      </w:pPr>
      <w:r>
        <w:rPr>
          <w:rFonts w:hint="eastAsia"/>
          <w:szCs w:val="22"/>
        </w:rPr>
        <w:t>驾驶员不在驾驶位报警类型错误、报警时间不在有效报警区间内、对异常状态未产生报警或对正常状态产生报警，判定为一次误报，并记录此次误报报警类型；</w:t>
      </w:r>
    </w:p>
    <w:p>
      <w:pPr>
        <w:pStyle w:val="145"/>
        <w:numPr>
          <w:ilvl w:val="0"/>
          <w:numId w:val="53"/>
        </w:numPr>
        <w:tabs>
          <w:tab w:val="center" w:pos="4201"/>
          <w:tab w:val="right" w:leader="dot" w:pos="9298"/>
        </w:tabs>
        <w:rPr>
          <w:rFonts w:hint="eastAsia"/>
          <w:szCs w:val="22"/>
        </w:rPr>
      </w:pPr>
      <w:r>
        <w:rPr>
          <w:rFonts w:hint="eastAsia"/>
          <w:szCs w:val="22"/>
        </w:rPr>
        <w:t>完成试验步骤中要求的测试次数，根据3.6章节的公式计算出报警准确率；</w:t>
      </w:r>
    </w:p>
    <w:p>
      <w:pPr>
        <w:pStyle w:val="145"/>
        <w:numPr>
          <w:ilvl w:val="0"/>
          <w:numId w:val="53"/>
        </w:numPr>
        <w:tabs>
          <w:tab w:val="center" w:pos="4201"/>
          <w:tab w:val="right" w:leader="dot" w:pos="9298"/>
        </w:tabs>
        <w:rPr>
          <w:rFonts w:hint="eastAsia"/>
          <w:szCs w:val="22"/>
        </w:rPr>
      </w:pPr>
      <w:r>
        <w:rPr>
          <w:rFonts w:hint="eastAsia"/>
          <w:szCs w:val="22"/>
        </w:rPr>
        <w:t>试验步骤中驾驶员不在驾驶位报警的准确率达到95%以上，则本项试验通过。</w:t>
      </w:r>
    </w:p>
    <w:p>
      <w:pPr>
        <w:pStyle w:val="63"/>
        <w:spacing w:before="156" w:after="156"/>
      </w:pPr>
      <w:bookmarkStart w:id="944" w:name="_Toc17642892"/>
      <w:bookmarkStart w:id="945" w:name="_Toc22250"/>
      <w:bookmarkStart w:id="946" w:name="_Toc13660701"/>
      <w:bookmarkStart w:id="947" w:name="_Toc17643048"/>
      <w:bookmarkStart w:id="948" w:name="_Toc17643177"/>
      <w:bookmarkStart w:id="949" w:name="_Toc13665108"/>
      <w:bookmarkStart w:id="950" w:name="_Toc12288"/>
      <w:bookmarkStart w:id="951" w:name="_Toc2211"/>
      <w:r>
        <w:rPr>
          <w:rFonts w:hint="eastAsia"/>
        </w:rPr>
        <w:t>抽烟报警</w:t>
      </w:r>
      <w:bookmarkEnd w:id="944"/>
      <w:bookmarkEnd w:id="945"/>
      <w:bookmarkEnd w:id="946"/>
      <w:bookmarkEnd w:id="947"/>
      <w:bookmarkEnd w:id="948"/>
      <w:bookmarkEnd w:id="949"/>
      <w:bookmarkEnd w:id="950"/>
      <w:bookmarkEnd w:id="951"/>
    </w:p>
    <w:p>
      <w:pPr>
        <w:pStyle w:val="62"/>
        <w:spacing w:before="156" w:after="156"/>
      </w:pPr>
      <w:bookmarkStart w:id="952" w:name="_Toc17642893"/>
      <w:bookmarkStart w:id="953" w:name="_Toc17643049"/>
      <w:r>
        <w:rPr>
          <w:rFonts w:hint="eastAsia"/>
        </w:rPr>
        <w:t>8.2.5.1</w:t>
      </w:r>
      <w:r>
        <w:rPr>
          <w:rFonts w:hint="eastAsia" w:hAnsi="黑体" w:cs="黑体"/>
        </w:rPr>
        <w:t>试验场景要求</w:t>
      </w:r>
      <w:bookmarkEnd w:id="952"/>
      <w:bookmarkEnd w:id="953"/>
    </w:p>
    <w:p>
      <w:pPr>
        <w:pStyle w:val="27"/>
      </w:pPr>
      <w:r>
        <w:rPr>
          <w:rFonts w:hint="eastAsia"/>
        </w:rPr>
        <w:t>终端设置大于10km</w:t>
      </w:r>
      <w:r>
        <w:t>/h</w:t>
      </w:r>
      <w:r>
        <w:rPr>
          <w:rFonts w:hint="eastAsia"/>
        </w:rPr>
        <w:t xml:space="preserve">的模拟车速，在室外或室内模拟的白天、夜晚、顺光、逆光、侧光、树荫阳光交替闪烁、车辆震动环境条件的场景进行试验。 </w:t>
      </w:r>
    </w:p>
    <w:p>
      <w:pPr>
        <w:pStyle w:val="62"/>
        <w:spacing w:before="156" w:after="156"/>
        <w:rPr>
          <w:rFonts w:hAnsi="黑体" w:cs="黑体"/>
        </w:rPr>
      </w:pPr>
      <w:bookmarkStart w:id="954" w:name="_Toc17642894"/>
      <w:bookmarkStart w:id="955" w:name="_Toc17643050"/>
      <w:r>
        <w:rPr>
          <w:rFonts w:hint="eastAsia"/>
        </w:rPr>
        <w:t>8.2.5.2</w:t>
      </w:r>
      <w:r>
        <w:rPr>
          <w:rFonts w:hint="eastAsia" w:hAnsi="黑体" w:cs="黑体"/>
        </w:rPr>
        <w:t>试验步骤要求</w:t>
      </w:r>
      <w:bookmarkEnd w:id="954"/>
      <w:bookmarkEnd w:id="955"/>
    </w:p>
    <w:p>
      <w:pPr>
        <w:pStyle w:val="145"/>
        <w:numPr>
          <w:ilvl w:val="0"/>
          <w:numId w:val="54"/>
        </w:numPr>
        <w:tabs>
          <w:tab w:val="center" w:pos="4201"/>
          <w:tab w:val="right" w:leader="dot" w:pos="9298"/>
        </w:tabs>
        <w:rPr>
          <w:rFonts w:hint="eastAsia"/>
          <w:szCs w:val="22"/>
        </w:rPr>
      </w:pPr>
      <w:r>
        <w:rPr>
          <w:rFonts w:hint="eastAsia"/>
          <w:szCs w:val="22"/>
        </w:rPr>
        <w:t>驾驶员嘴叼香烟物品（需包含正常粗杆香烟和女士细杆香烟），动作时间1s，动作结束后2s内，发出抽烟的正确报警。测试次数不低于30次（各场景下至少测试两次），动作间隔不低于5s，准确率在95%以上；</w:t>
      </w:r>
    </w:p>
    <w:p>
      <w:pPr>
        <w:pStyle w:val="145"/>
        <w:numPr>
          <w:ilvl w:val="0"/>
          <w:numId w:val="54"/>
        </w:numPr>
        <w:tabs>
          <w:tab w:val="center" w:pos="4201"/>
          <w:tab w:val="right" w:leader="dot" w:pos="9298"/>
        </w:tabs>
        <w:rPr>
          <w:rFonts w:hint="eastAsia"/>
          <w:szCs w:val="22"/>
        </w:rPr>
      </w:pPr>
      <w:r>
        <w:rPr>
          <w:rFonts w:hint="eastAsia"/>
          <w:szCs w:val="22"/>
        </w:rPr>
        <w:t>驾驶员做手夹香烟的抽烟动作（需包含正常粗杆香烟和女士细杆香烟），动作时间1s，动作结束后2s内，发出抽烟的正确报警。测试次数不低于30次（各场景下至少测试两次），动作间隔不低于5s，准确率在95%以上；</w:t>
      </w:r>
    </w:p>
    <w:p>
      <w:pPr>
        <w:pStyle w:val="145"/>
        <w:numPr>
          <w:ilvl w:val="0"/>
          <w:numId w:val="54"/>
        </w:numPr>
        <w:tabs>
          <w:tab w:val="center" w:pos="4201"/>
          <w:tab w:val="right" w:leader="dot" w:pos="9298"/>
        </w:tabs>
        <w:rPr>
          <w:rFonts w:hint="eastAsia"/>
          <w:szCs w:val="22"/>
        </w:rPr>
      </w:pPr>
      <w:r>
        <w:rPr>
          <w:rFonts w:hint="eastAsia"/>
          <w:szCs w:val="22"/>
        </w:rPr>
        <w:t>驾驶员嘴侧向叼牙签和棒棒糖物品，动作时间持续5s，动作结束后2s内，设备不得发出抽烟的报警。测试次数不低于60次（各场景下至少测试两次），动作间隔不低于10s，设备误报率要求等于0；</w:t>
      </w:r>
    </w:p>
    <w:p>
      <w:pPr>
        <w:pStyle w:val="145"/>
        <w:numPr>
          <w:ilvl w:val="0"/>
          <w:numId w:val="54"/>
        </w:numPr>
        <w:tabs>
          <w:tab w:val="center" w:pos="4201"/>
          <w:tab w:val="right" w:leader="dot" w:pos="9298"/>
        </w:tabs>
        <w:rPr>
          <w:rFonts w:hint="eastAsia"/>
          <w:szCs w:val="22"/>
        </w:rPr>
      </w:pPr>
      <w:r>
        <w:rPr>
          <w:rFonts w:hint="eastAsia"/>
          <w:szCs w:val="22"/>
        </w:rPr>
        <w:t>驾驶员做出手夹烟（不含香烟物品）动作，动作时间持续5s，动作结束后2s内，设备不得发出抽烟的报警。测试次数不低于60次（各场景下至少测试两次），动作间隔不低于10s，设备误报率要求等于0；</w:t>
      </w:r>
    </w:p>
    <w:p>
      <w:pPr>
        <w:pStyle w:val="145"/>
        <w:numPr>
          <w:ilvl w:val="0"/>
          <w:numId w:val="54"/>
        </w:numPr>
        <w:tabs>
          <w:tab w:val="center" w:pos="4201"/>
          <w:tab w:val="right" w:leader="dot" w:pos="9298"/>
        </w:tabs>
        <w:rPr>
          <w:rFonts w:hint="eastAsia"/>
          <w:szCs w:val="22"/>
        </w:rPr>
      </w:pPr>
      <w:r>
        <w:rPr>
          <w:rFonts w:hint="eastAsia"/>
          <w:szCs w:val="22"/>
        </w:rPr>
        <w:t>驾驶员做出嘴叼笔和手夹笔动作，动作时间持续5s，动作结束后2s内，设备不得发出抽烟的报警。测试次数不低于60次（各场景下至少测试两次），动作间隔不低于10s，设备误报率要求等于0；</w:t>
      </w:r>
    </w:p>
    <w:p>
      <w:pPr>
        <w:pStyle w:val="145"/>
        <w:numPr>
          <w:ilvl w:val="0"/>
          <w:numId w:val="54"/>
        </w:numPr>
        <w:tabs>
          <w:tab w:val="center" w:pos="4201"/>
          <w:tab w:val="right" w:leader="dot" w:pos="9298"/>
        </w:tabs>
        <w:rPr>
          <w:rFonts w:hint="eastAsia"/>
          <w:szCs w:val="22"/>
        </w:rPr>
      </w:pPr>
      <w:r>
        <w:rPr>
          <w:rFonts w:hint="eastAsia"/>
          <w:szCs w:val="22"/>
        </w:rPr>
        <w:t>驾驶员做出香烟物品和抽烟综合动作，动作时间1s，动作结束后2s内，发出抽烟的正确报警。测试次数不低于30次（各场景下至少测试两次），动作间隔不低于5s，准确率在90%以上。</w:t>
      </w:r>
    </w:p>
    <w:p>
      <w:pPr>
        <w:pStyle w:val="62"/>
        <w:spacing w:before="156" w:after="156"/>
        <w:rPr>
          <w:rFonts w:hAnsi="黑体" w:cs="黑体"/>
        </w:rPr>
      </w:pPr>
      <w:bookmarkStart w:id="956" w:name="_Toc17643051"/>
      <w:bookmarkStart w:id="957" w:name="_Toc17642895"/>
      <w:r>
        <w:rPr>
          <w:rFonts w:hint="eastAsia"/>
        </w:rPr>
        <w:t>8.2.5.3</w:t>
      </w:r>
      <w:r>
        <w:rPr>
          <w:rFonts w:hint="eastAsia" w:hAnsi="黑体" w:cs="黑体"/>
        </w:rPr>
        <w:t>试验结果分析</w:t>
      </w:r>
      <w:bookmarkEnd w:id="956"/>
      <w:bookmarkEnd w:id="957"/>
    </w:p>
    <w:p>
      <w:pPr>
        <w:pStyle w:val="27"/>
      </w:pPr>
      <w:r>
        <w:rPr>
          <w:rFonts w:hint="eastAsia"/>
        </w:rPr>
        <w:t>将终端抽烟报警情况与预期结果进行对比判定，判定过程如下：</w:t>
      </w:r>
    </w:p>
    <w:p>
      <w:pPr>
        <w:pStyle w:val="145"/>
        <w:numPr>
          <w:ilvl w:val="0"/>
          <w:numId w:val="55"/>
        </w:numPr>
        <w:tabs>
          <w:tab w:val="center" w:pos="4201"/>
          <w:tab w:val="right" w:leader="dot" w:pos="9298"/>
        </w:tabs>
        <w:rPr>
          <w:rFonts w:hint="eastAsia"/>
          <w:szCs w:val="22"/>
        </w:rPr>
      </w:pPr>
      <w:r>
        <w:rPr>
          <w:rFonts w:hint="eastAsia"/>
          <w:szCs w:val="22"/>
        </w:rPr>
        <w:t>抽烟报警类型正确且报警时间在有效报警区间内时，判定未一次有效报警；</w:t>
      </w:r>
    </w:p>
    <w:p>
      <w:pPr>
        <w:pStyle w:val="145"/>
        <w:numPr>
          <w:ilvl w:val="0"/>
          <w:numId w:val="55"/>
        </w:numPr>
        <w:tabs>
          <w:tab w:val="center" w:pos="4201"/>
          <w:tab w:val="right" w:leader="dot" w:pos="9298"/>
        </w:tabs>
        <w:rPr>
          <w:rFonts w:hint="eastAsia"/>
          <w:szCs w:val="22"/>
        </w:rPr>
      </w:pPr>
      <w:r>
        <w:rPr>
          <w:rFonts w:hint="eastAsia"/>
          <w:szCs w:val="22"/>
        </w:rPr>
        <w:t>抽烟报警类型错误、报警时间不在有效报警区间内、对异常状态未产生报警或对正常状态产生报警，判定为一次误报，并记录此次误报报警类型；</w:t>
      </w:r>
    </w:p>
    <w:p>
      <w:pPr>
        <w:pStyle w:val="145"/>
        <w:numPr>
          <w:ilvl w:val="0"/>
          <w:numId w:val="55"/>
        </w:numPr>
        <w:tabs>
          <w:tab w:val="center" w:pos="4201"/>
          <w:tab w:val="right" w:leader="dot" w:pos="9298"/>
        </w:tabs>
        <w:rPr>
          <w:rFonts w:hint="eastAsia"/>
          <w:szCs w:val="22"/>
        </w:rPr>
      </w:pPr>
      <w:r>
        <w:rPr>
          <w:rFonts w:hint="eastAsia"/>
          <w:szCs w:val="22"/>
        </w:rPr>
        <w:t>完成试验步骤中要求的测试次数，根据3.6章节的公式计算出报警准确率；</w:t>
      </w:r>
    </w:p>
    <w:p>
      <w:pPr>
        <w:pStyle w:val="145"/>
        <w:numPr>
          <w:ilvl w:val="0"/>
          <w:numId w:val="55"/>
        </w:numPr>
        <w:tabs>
          <w:tab w:val="center" w:pos="4201"/>
          <w:tab w:val="right" w:leader="dot" w:pos="9298"/>
        </w:tabs>
        <w:rPr>
          <w:rFonts w:hint="eastAsia"/>
          <w:szCs w:val="22"/>
        </w:rPr>
      </w:pPr>
      <w:r>
        <w:rPr>
          <w:rFonts w:hint="eastAsia"/>
          <w:szCs w:val="22"/>
        </w:rPr>
        <w:t>试验步骤中驾驶员抽烟报警的准确率、误报率达到预期要求，则本项试验通过。</w:t>
      </w:r>
    </w:p>
    <w:p>
      <w:pPr>
        <w:pStyle w:val="63"/>
        <w:spacing w:before="156" w:after="156"/>
        <w:rPr>
          <w:rFonts w:hint="eastAsia"/>
        </w:rPr>
      </w:pPr>
      <w:bookmarkStart w:id="958" w:name="_Toc17643052"/>
      <w:bookmarkStart w:id="959" w:name="_Toc17642896"/>
      <w:bookmarkStart w:id="960" w:name="_Toc17643178"/>
      <w:r>
        <w:rPr>
          <w:rFonts w:hint="eastAsia"/>
        </w:rPr>
        <w:t>设备失效提醒</w:t>
      </w:r>
      <w:bookmarkEnd w:id="958"/>
      <w:bookmarkEnd w:id="959"/>
      <w:bookmarkEnd w:id="960"/>
    </w:p>
    <w:p>
      <w:pPr>
        <w:pStyle w:val="62"/>
        <w:spacing w:before="156" w:after="156"/>
      </w:pPr>
      <w:bookmarkStart w:id="961" w:name="_Toc13665110"/>
      <w:bookmarkStart w:id="962" w:name="_Toc21344"/>
      <w:bookmarkStart w:id="963" w:name="_Toc13660703"/>
      <w:bookmarkStart w:id="964" w:name="_Toc21697"/>
      <w:bookmarkStart w:id="965" w:name="_Toc4952"/>
      <w:bookmarkStart w:id="966" w:name="_Toc17112"/>
      <w:bookmarkStart w:id="967" w:name="_Toc13660702"/>
      <w:bookmarkStart w:id="968" w:name="_Toc23905"/>
      <w:bookmarkStart w:id="969" w:name="_Toc13665109"/>
      <w:bookmarkStart w:id="970" w:name="_Toc30308"/>
      <w:r>
        <w:rPr>
          <w:rFonts w:hint="eastAsia"/>
        </w:rPr>
        <w:t>8.2.6.1设备遮挡失效提醒</w:t>
      </w:r>
      <w:bookmarkEnd w:id="961"/>
      <w:bookmarkEnd w:id="962"/>
      <w:bookmarkEnd w:id="963"/>
      <w:bookmarkEnd w:id="964"/>
      <w:bookmarkEnd w:id="965"/>
    </w:p>
    <w:p>
      <w:pPr>
        <w:pStyle w:val="62"/>
        <w:spacing w:before="156" w:after="156"/>
      </w:pPr>
      <w:r>
        <w:rPr>
          <w:rFonts w:hint="eastAsia"/>
        </w:rPr>
        <w:t>8.2.6.1.1试验场景要求</w:t>
      </w:r>
    </w:p>
    <w:p>
      <w:pPr>
        <w:pStyle w:val="27"/>
      </w:pPr>
      <w:r>
        <w:rPr>
          <w:rFonts w:hint="eastAsia"/>
        </w:rPr>
        <w:t>在车内模拟真实遮挡环境进行试验，终端设置大于10km</w:t>
      </w:r>
      <w:r>
        <w:t>/h</w:t>
      </w:r>
      <w:r>
        <w:rPr>
          <w:rFonts w:hint="eastAsia"/>
        </w:rPr>
        <w:t>的模拟车速。</w:t>
      </w:r>
    </w:p>
    <w:p>
      <w:pPr>
        <w:pStyle w:val="62"/>
        <w:spacing w:before="156" w:after="156"/>
      </w:pPr>
      <w:r>
        <w:rPr>
          <w:rFonts w:hint="eastAsia"/>
        </w:rPr>
        <w:t>8.2.6.1.2试验步骤要求</w:t>
      </w:r>
    </w:p>
    <w:p>
      <w:pPr>
        <w:pStyle w:val="27"/>
      </w:pPr>
      <w:r>
        <w:rPr>
          <w:rFonts w:hint="eastAsia"/>
        </w:rPr>
        <w:t>使用不透光的材料遮挡DSM摄像头</w:t>
      </w:r>
      <w:r>
        <w:t>10</w:t>
      </w:r>
      <w:r>
        <w:rPr>
          <w:rFonts w:hint="eastAsia"/>
        </w:rPr>
        <w:t>s，发出设备失效的正确报警。重复进行3</w:t>
      </w:r>
      <w:r>
        <w:t>0</w:t>
      </w:r>
      <w:r>
        <w:rPr>
          <w:rFonts w:hint="eastAsia"/>
        </w:rPr>
        <w:t>次，动作间隔不低于5s，准确率在95%以上。</w:t>
      </w:r>
    </w:p>
    <w:p>
      <w:pPr>
        <w:pStyle w:val="62"/>
        <w:spacing w:before="156" w:after="156"/>
      </w:pPr>
      <w:r>
        <w:rPr>
          <w:rFonts w:hint="eastAsia"/>
        </w:rPr>
        <w:t>8.2.6.1.3试验结果分析</w:t>
      </w:r>
    </w:p>
    <w:p>
      <w:pPr>
        <w:pStyle w:val="27"/>
      </w:pPr>
      <w:r>
        <w:rPr>
          <w:rFonts w:hint="eastAsia"/>
        </w:rPr>
        <w:t>将终端遮挡失效报警情况与预期结果进行对比判定，判定过程如下：</w:t>
      </w:r>
    </w:p>
    <w:p>
      <w:pPr>
        <w:pStyle w:val="145"/>
        <w:numPr>
          <w:ilvl w:val="0"/>
          <w:numId w:val="56"/>
        </w:numPr>
        <w:tabs>
          <w:tab w:val="center" w:pos="4201"/>
          <w:tab w:val="right" w:leader="dot" w:pos="9298"/>
        </w:tabs>
        <w:rPr>
          <w:rFonts w:hint="eastAsia"/>
          <w:szCs w:val="22"/>
        </w:rPr>
      </w:pPr>
      <w:r>
        <w:rPr>
          <w:rFonts w:hint="eastAsia"/>
          <w:szCs w:val="22"/>
        </w:rPr>
        <w:t>按照场景、步骤要求可以触发设备遮挡失效报警；</w:t>
      </w:r>
    </w:p>
    <w:p>
      <w:pPr>
        <w:pStyle w:val="145"/>
        <w:numPr>
          <w:ilvl w:val="0"/>
          <w:numId w:val="56"/>
        </w:numPr>
        <w:tabs>
          <w:tab w:val="center" w:pos="4201"/>
          <w:tab w:val="right" w:leader="dot" w:pos="9298"/>
        </w:tabs>
        <w:rPr>
          <w:rFonts w:hint="eastAsia"/>
          <w:szCs w:val="22"/>
        </w:rPr>
      </w:pPr>
      <w:r>
        <w:rPr>
          <w:rFonts w:hint="eastAsia"/>
          <w:szCs w:val="22"/>
        </w:rPr>
        <w:t>重复触发设备遮挡失效报警30次，记录报警正报、误报次数；</w:t>
      </w:r>
    </w:p>
    <w:p>
      <w:pPr>
        <w:pStyle w:val="145"/>
        <w:numPr>
          <w:ilvl w:val="0"/>
          <w:numId w:val="56"/>
        </w:numPr>
        <w:tabs>
          <w:tab w:val="center" w:pos="4201"/>
          <w:tab w:val="right" w:leader="dot" w:pos="9298"/>
        </w:tabs>
        <w:rPr>
          <w:rFonts w:hint="eastAsia"/>
          <w:szCs w:val="22"/>
        </w:rPr>
      </w:pPr>
      <w:r>
        <w:rPr>
          <w:rFonts w:hint="eastAsia"/>
          <w:szCs w:val="22"/>
        </w:rPr>
        <w:t>根据3.6章节的公式计算出报警准确率，准确率达到95%以上，则本项试验通过；</w:t>
      </w:r>
    </w:p>
    <w:p>
      <w:pPr>
        <w:pStyle w:val="62"/>
        <w:spacing w:before="156" w:after="156"/>
      </w:pPr>
      <w:bookmarkStart w:id="971" w:name="_Toc17643053"/>
      <w:bookmarkStart w:id="972" w:name="_Toc13660704"/>
      <w:bookmarkStart w:id="973" w:name="_Toc3756"/>
      <w:bookmarkStart w:id="974" w:name="_Toc17642897"/>
      <w:bookmarkStart w:id="975" w:name="_Toc13665111"/>
      <w:bookmarkStart w:id="976" w:name="_Toc4356"/>
      <w:bookmarkStart w:id="977" w:name="_Toc30109"/>
      <w:r>
        <w:rPr>
          <w:rFonts w:hint="eastAsia"/>
        </w:rPr>
        <w:t>8.2.6.2红外阻断型墨镜失效提醒</w:t>
      </w:r>
      <w:bookmarkEnd w:id="971"/>
      <w:bookmarkEnd w:id="972"/>
      <w:bookmarkEnd w:id="973"/>
      <w:bookmarkEnd w:id="974"/>
      <w:bookmarkEnd w:id="975"/>
      <w:bookmarkEnd w:id="976"/>
      <w:bookmarkEnd w:id="977"/>
    </w:p>
    <w:p>
      <w:pPr>
        <w:pStyle w:val="82"/>
        <w:numPr>
          <w:ilvl w:val="0"/>
          <w:numId w:val="0"/>
        </w:numPr>
        <w:spacing w:before="156" w:after="156"/>
      </w:pPr>
      <w:r>
        <w:rPr>
          <w:rFonts w:hint="eastAsia"/>
        </w:rPr>
        <w:t>8.2.6.2.1试验场景要求</w:t>
      </w:r>
    </w:p>
    <w:p>
      <w:pPr>
        <w:pStyle w:val="27"/>
      </w:pPr>
      <w:r>
        <w:rPr>
          <w:rFonts w:hint="eastAsia"/>
        </w:rPr>
        <w:t>终端设置大于10km</w:t>
      </w:r>
      <w:r>
        <w:t>/h</w:t>
      </w:r>
      <w:r>
        <w:rPr>
          <w:rFonts w:hint="eastAsia"/>
        </w:rPr>
        <w:t>的模拟车速，在室外或室内模拟的白天、夜晚、顺光、逆光、侧光、树荫阳光交替闪烁、车辆震动环境条件的场景进行试验。</w:t>
      </w:r>
    </w:p>
    <w:p>
      <w:pPr>
        <w:pStyle w:val="82"/>
        <w:numPr>
          <w:ilvl w:val="0"/>
          <w:numId w:val="0"/>
        </w:numPr>
        <w:spacing w:before="156" w:after="156"/>
      </w:pPr>
      <w:r>
        <w:rPr>
          <w:rFonts w:hint="eastAsia"/>
        </w:rPr>
        <w:t>8.2.6.2.2试验步骤要求</w:t>
      </w:r>
    </w:p>
    <w:p>
      <w:pPr>
        <w:pStyle w:val="145"/>
        <w:numPr>
          <w:ilvl w:val="0"/>
          <w:numId w:val="57"/>
        </w:numPr>
        <w:tabs>
          <w:tab w:val="center" w:pos="4201"/>
          <w:tab w:val="right" w:leader="dot" w:pos="9298"/>
        </w:tabs>
        <w:rPr>
          <w:rFonts w:hint="eastAsia"/>
          <w:szCs w:val="22"/>
        </w:rPr>
      </w:pPr>
      <w:r>
        <w:rPr>
          <w:rFonts w:hint="eastAsia"/>
          <w:szCs w:val="22"/>
        </w:rPr>
        <w:t>驾驶员佩戴红外阻断型墨镜，佩戴完成后2s内，发出设备失效正确报警。</w:t>
      </w:r>
    </w:p>
    <w:p>
      <w:pPr>
        <w:pStyle w:val="145"/>
        <w:numPr>
          <w:ilvl w:val="0"/>
          <w:numId w:val="57"/>
        </w:numPr>
        <w:tabs>
          <w:tab w:val="center" w:pos="4201"/>
          <w:tab w:val="right" w:leader="dot" w:pos="9298"/>
        </w:tabs>
        <w:rPr>
          <w:rFonts w:hint="eastAsia"/>
          <w:szCs w:val="22"/>
        </w:rPr>
      </w:pPr>
      <w:r>
        <w:rPr>
          <w:rFonts w:hint="eastAsia"/>
          <w:szCs w:val="22"/>
        </w:rPr>
        <w:t>测试次数不低于30次（各场景下至少测试两次），动作间隔不低于5s，准确率在95%以上。</w:t>
      </w:r>
    </w:p>
    <w:p>
      <w:pPr>
        <w:pStyle w:val="81"/>
        <w:numPr>
          <w:ilvl w:val="0"/>
          <w:numId w:val="0"/>
        </w:numPr>
        <w:ind w:left="-2"/>
        <w:rPr>
          <w:rFonts w:hint="eastAsia" w:ascii="黑体" w:eastAsia="黑体"/>
        </w:rPr>
      </w:pPr>
      <w:r>
        <w:rPr>
          <w:rFonts w:hint="eastAsia" w:ascii="黑体" w:eastAsia="黑体"/>
        </w:rPr>
        <w:t>8.2.6.2.3试验结果分析</w:t>
      </w:r>
    </w:p>
    <w:p>
      <w:pPr>
        <w:pStyle w:val="145"/>
        <w:numPr>
          <w:ilvl w:val="0"/>
          <w:numId w:val="58"/>
        </w:numPr>
        <w:tabs>
          <w:tab w:val="center" w:pos="4201"/>
          <w:tab w:val="right" w:leader="dot" w:pos="9298"/>
        </w:tabs>
        <w:rPr>
          <w:rFonts w:hint="eastAsia"/>
          <w:szCs w:val="22"/>
        </w:rPr>
      </w:pPr>
      <w:r>
        <w:rPr>
          <w:rFonts w:hint="eastAsia"/>
          <w:szCs w:val="22"/>
        </w:rPr>
        <w:t>按照场景、步骤要求可以触发设备红外阻断型墨镜失效报警；</w:t>
      </w:r>
    </w:p>
    <w:p>
      <w:pPr>
        <w:pStyle w:val="145"/>
        <w:numPr>
          <w:ilvl w:val="0"/>
          <w:numId w:val="58"/>
        </w:numPr>
        <w:tabs>
          <w:tab w:val="center" w:pos="4201"/>
          <w:tab w:val="right" w:leader="dot" w:pos="9298"/>
        </w:tabs>
        <w:rPr>
          <w:rFonts w:hint="eastAsia"/>
          <w:szCs w:val="22"/>
        </w:rPr>
      </w:pPr>
      <w:r>
        <w:rPr>
          <w:rFonts w:hint="eastAsia"/>
          <w:szCs w:val="22"/>
        </w:rPr>
        <w:t>重复触发红外阻断型墨镜失效报警30次，记录报警正报、误报次数；</w:t>
      </w:r>
    </w:p>
    <w:p>
      <w:pPr>
        <w:pStyle w:val="145"/>
        <w:numPr>
          <w:ilvl w:val="0"/>
          <w:numId w:val="58"/>
        </w:numPr>
        <w:tabs>
          <w:tab w:val="center" w:pos="4201"/>
          <w:tab w:val="right" w:leader="dot" w:pos="9298"/>
        </w:tabs>
        <w:rPr>
          <w:rFonts w:hint="eastAsia"/>
          <w:szCs w:val="22"/>
        </w:rPr>
      </w:pPr>
      <w:r>
        <w:rPr>
          <w:rFonts w:hint="eastAsia"/>
          <w:szCs w:val="22"/>
        </w:rPr>
        <w:t>根据3.6章节的公式计算出报警准确率，准确率达到95%以上，则本项试验通过。</w:t>
      </w:r>
    </w:p>
    <w:p>
      <w:pPr>
        <w:pStyle w:val="63"/>
        <w:spacing w:before="156" w:after="156"/>
      </w:pPr>
      <w:bookmarkStart w:id="978" w:name="_Toc11109"/>
      <w:bookmarkStart w:id="979" w:name="_Toc32222"/>
      <w:bookmarkStart w:id="980" w:name="_Toc17643054"/>
      <w:bookmarkStart w:id="981" w:name="_Toc13665112"/>
      <w:bookmarkStart w:id="982" w:name="_Toc17643179"/>
      <w:bookmarkStart w:id="983" w:name="_Toc17642898"/>
      <w:bookmarkStart w:id="984" w:name="_Toc1618"/>
      <w:bookmarkStart w:id="985" w:name="_Toc13660705"/>
      <w:r>
        <w:t>驾驶员身份识别</w:t>
      </w:r>
      <w:bookmarkEnd w:id="978"/>
      <w:bookmarkEnd w:id="979"/>
      <w:bookmarkEnd w:id="980"/>
      <w:bookmarkEnd w:id="981"/>
      <w:bookmarkEnd w:id="982"/>
      <w:bookmarkEnd w:id="983"/>
      <w:bookmarkEnd w:id="984"/>
      <w:bookmarkEnd w:id="985"/>
    </w:p>
    <w:p>
      <w:pPr>
        <w:pStyle w:val="62"/>
        <w:spacing w:before="156" w:after="156"/>
      </w:pPr>
      <w:bookmarkStart w:id="986" w:name="_Toc17642899"/>
      <w:bookmarkStart w:id="987" w:name="_Toc17643055"/>
      <w:r>
        <w:rPr>
          <w:rFonts w:hint="eastAsia"/>
        </w:rPr>
        <w:t>8.2.7.1</w:t>
      </w:r>
      <w:r>
        <w:rPr>
          <w:rFonts w:hint="eastAsia" w:hAnsi="黑体" w:cs="黑体"/>
        </w:rPr>
        <w:t>试验场景要求</w:t>
      </w:r>
      <w:bookmarkEnd w:id="986"/>
      <w:bookmarkEnd w:id="987"/>
    </w:p>
    <w:p>
      <w:pPr>
        <w:pStyle w:val="27"/>
      </w:pPr>
      <w:r>
        <w:rPr>
          <w:rFonts w:hint="eastAsia"/>
        </w:rPr>
        <w:t>在不连接网络和平台的场景下，终端录入A测试人员的身份信息。</w:t>
      </w:r>
    </w:p>
    <w:p>
      <w:pPr>
        <w:pStyle w:val="62"/>
        <w:spacing w:before="156" w:after="156"/>
      </w:pPr>
      <w:bookmarkStart w:id="988" w:name="_Toc17642900"/>
      <w:bookmarkStart w:id="989" w:name="_Toc17643056"/>
      <w:r>
        <w:rPr>
          <w:rFonts w:hint="eastAsia"/>
        </w:rPr>
        <w:t>8.2.7.2</w:t>
      </w:r>
      <w:r>
        <w:rPr>
          <w:rFonts w:hint="eastAsia" w:hAnsi="黑体" w:cs="黑体"/>
        </w:rPr>
        <w:t>试验步骤要求</w:t>
      </w:r>
      <w:bookmarkEnd w:id="988"/>
      <w:bookmarkEnd w:id="989"/>
    </w:p>
    <w:p>
      <w:pPr>
        <w:pStyle w:val="145"/>
        <w:numPr>
          <w:ilvl w:val="0"/>
          <w:numId w:val="59"/>
        </w:numPr>
        <w:tabs>
          <w:tab w:val="center" w:pos="4201"/>
          <w:tab w:val="right" w:leader="dot" w:pos="9298"/>
        </w:tabs>
        <w:rPr>
          <w:rFonts w:hint="eastAsia"/>
          <w:szCs w:val="22"/>
        </w:rPr>
      </w:pPr>
      <w:r>
        <w:rPr>
          <w:rFonts w:hint="eastAsia"/>
          <w:szCs w:val="22"/>
        </w:rPr>
        <w:t>A测试人员在驾驶位或离开后返回驾驶位，设备终端再次准确进行身份识别并在设备终端发出正确的身份比对通过的报警语音提醒；</w:t>
      </w:r>
    </w:p>
    <w:p>
      <w:pPr>
        <w:pStyle w:val="145"/>
        <w:numPr>
          <w:ilvl w:val="0"/>
          <w:numId w:val="59"/>
        </w:numPr>
        <w:tabs>
          <w:tab w:val="center" w:pos="4201"/>
          <w:tab w:val="right" w:leader="dot" w:pos="9298"/>
        </w:tabs>
        <w:rPr>
          <w:rFonts w:hint="eastAsia"/>
          <w:szCs w:val="22"/>
        </w:rPr>
      </w:pPr>
      <w:r>
        <w:rPr>
          <w:rFonts w:hint="eastAsia"/>
          <w:szCs w:val="22"/>
        </w:rPr>
        <w:t>然后再进行A测试人员离开后更换B测试人员返回驾驶位，设备终端再次进行身份识别并在设备终端发出身份比对不通过的报警语音提醒；</w:t>
      </w:r>
    </w:p>
    <w:p>
      <w:pPr>
        <w:pStyle w:val="145"/>
        <w:numPr>
          <w:ilvl w:val="0"/>
          <w:numId w:val="59"/>
        </w:numPr>
        <w:tabs>
          <w:tab w:val="center" w:pos="4201"/>
          <w:tab w:val="right" w:leader="dot" w:pos="9298"/>
        </w:tabs>
        <w:rPr>
          <w:rFonts w:hint="eastAsia"/>
          <w:szCs w:val="22"/>
        </w:rPr>
      </w:pPr>
      <w:r>
        <w:rPr>
          <w:rFonts w:hint="eastAsia"/>
          <w:szCs w:val="22"/>
        </w:rPr>
        <w:t>以上两项步骤测试为一个测试环节，若均符合要求则本次测试通过。</w:t>
      </w:r>
    </w:p>
    <w:p>
      <w:pPr>
        <w:pStyle w:val="145"/>
        <w:numPr>
          <w:ilvl w:val="0"/>
          <w:numId w:val="59"/>
        </w:numPr>
        <w:tabs>
          <w:tab w:val="center" w:pos="4201"/>
          <w:tab w:val="right" w:leader="dot" w:pos="9298"/>
        </w:tabs>
        <w:rPr>
          <w:rFonts w:hint="eastAsia"/>
          <w:szCs w:val="22"/>
        </w:rPr>
      </w:pPr>
      <w:r>
        <w:rPr>
          <w:rFonts w:hint="eastAsia"/>
          <w:szCs w:val="22"/>
        </w:rPr>
        <w:t>重复上述测试7次，记录每次测试结果。</w:t>
      </w:r>
    </w:p>
    <w:p>
      <w:pPr>
        <w:pStyle w:val="62"/>
        <w:spacing w:before="156" w:after="156"/>
        <w:rPr>
          <w:rFonts w:ascii="仿宋" w:hAnsi="仿宋" w:eastAsia="仿宋"/>
          <w:szCs w:val="20"/>
        </w:rPr>
      </w:pPr>
      <w:bookmarkStart w:id="990" w:name="_Toc17643057"/>
      <w:bookmarkStart w:id="991" w:name="_Toc17642901"/>
      <w:r>
        <w:rPr>
          <w:rFonts w:hint="eastAsia"/>
        </w:rPr>
        <w:t>8.2.7.3</w:t>
      </w:r>
      <w:r>
        <w:rPr>
          <w:rFonts w:hint="eastAsia" w:hAnsi="黑体" w:cs="黑体"/>
        </w:rPr>
        <w:t>试验结果分析</w:t>
      </w:r>
      <w:bookmarkEnd w:id="990"/>
      <w:bookmarkEnd w:id="991"/>
    </w:p>
    <w:p>
      <w:pPr>
        <w:pStyle w:val="145"/>
        <w:numPr>
          <w:ilvl w:val="0"/>
          <w:numId w:val="60"/>
        </w:numPr>
        <w:tabs>
          <w:tab w:val="center" w:pos="4201"/>
          <w:tab w:val="right" w:leader="dot" w:pos="9298"/>
        </w:tabs>
        <w:rPr>
          <w:rFonts w:hint="eastAsia"/>
          <w:szCs w:val="22"/>
        </w:rPr>
      </w:pPr>
      <w:r>
        <w:rPr>
          <w:rFonts w:hint="eastAsia"/>
          <w:szCs w:val="22"/>
        </w:rPr>
        <w:t>以上测试步骤中，若其中某一项不符合要求则本次测试失败；</w:t>
      </w:r>
    </w:p>
    <w:p>
      <w:pPr>
        <w:pStyle w:val="145"/>
        <w:numPr>
          <w:ilvl w:val="0"/>
          <w:numId w:val="60"/>
        </w:numPr>
        <w:tabs>
          <w:tab w:val="center" w:pos="4201"/>
          <w:tab w:val="right" w:leader="dot" w:pos="9298"/>
        </w:tabs>
        <w:rPr>
          <w:rFonts w:hint="eastAsia"/>
          <w:szCs w:val="22"/>
        </w:rPr>
      </w:pPr>
      <w:r>
        <w:rPr>
          <w:rFonts w:hint="eastAsia"/>
          <w:szCs w:val="22"/>
        </w:rPr>
        <w:t>测试步骤反复测试七次，终端应通过该七次测试中的五次，且不能连续两次测试失败，则判定本项试验通过。</w:t>
      </w:r>
    </w:p>
    <w:p>
      <w:pPr>
        <w:pStyle w:val="63"/>
        <w:spacing w:before="156" w:after="156"/>
      </w:pPr>
      <w:bookmarkStart w:id="992" w:name="_Toc17642902"/>
      <w:bookmarkStart w:id="993" w:name="_Toc17643058"/>
      <w:r>
        <w:rPr>
          <w:rFonts w:hint="eastAsia"/>
        </w:rPr>
        <w:t>双手同时脱离方向盘报警</w:t>
      </w:r>
      <w:bookmarkEnd w:id="966"/>
      <w:bookmarkEnd w:id="967"/>
      <w:bookmarkEnd w:id="968"/>
      <w:bookmarkEnd w:id="969"/>
      <w:r>
        <w:rPr>
          <w:rFonts w:hint="eastAsia"/>
        </w:rPr>
        <w:t>（选配）</w:t>
      </w:r>
      <w:bookmarkEnd w:id="970"/>
      <w:bookmarkEnd w:id="992"/>
      <w:bookmarkEnd w:id="993"/>
    </w:p>
    <w:p>
      <w:pPr>
        <w:pStyle w:val="82"/>
        <w:numPr>
          <w:ilvl w:val="0"/>
          <w:numId w:val="0"/>
        </w:numPr>
        <w:spacing w:before="156" w:after="156"/>
        <w:rPr>
          <w:rFonts w:hAnsi="黑体" w:cs="黑体"/>
        </w:rPr>
      </w:pPr>
      <w:bookmarkStart w:id="994" w:name="_Toc17643059"/>
      <w:bookmarkStart w:id="995" w:name="_Toc17642903"/>
      <w:r>
        <w:rPr>
          <w:rFonts w:hint="eastAsia"/>
        </w:rPr>
        <w:t>8.2.8.1</w:t>
      </w:r>
      <w:r>
        <w:rPr>
          <w:rFonts w:hint="eastAsia" w:hAnsi="黑体" w:cs="黑体"/>
        </w:rPr>
        <w:t>试验场景要求</w:t>
      </w:r>
      <w:bookmarkEnd w:id="994"/>
      <w:bookmarkEnd w:id="995"/>
    </w:p>
    <w:p>
      <w:pPr>
        <w:pStyle w:val="27"/>
      </w:pPr>
      <w:r>
        <w:rPr>
          <w:rFonts w:hint="eastAsia"/>
        </w:rPr>
        <w:t>终端设置大于10km</w:t>
      </w:r>
      <w:r>
        <w:t>/h</w:t>
      </w:r>
      <w:r>
        <w:rPr>
          <w:rFonts w:hint="eastAsia"/>
        </w:rPr>
        <w:t>的模拟车速，在室外或室内模拟的白天、夜晚、顺光、逆光、侧光、树荫阳光交替闪烁、车辆震动环境条件的场景进行试验。</w:t>
      </w:r>
    </w:p>
    <w:p>
      <w:pPr>
        <w:pStyle w:val="62"/>
        <w:spacing w:before="156" w:after="156"/>
        <w:rPr>
          <w:rFonts w:ascii="仿宋" w:hAnsi="仿宋" w:eastAsia="仿宋"/>
        </w:rPr>
      </w:pPr>
      <w:bookmarkStart w:id="996" w:name="_Toc17642904"/>
      <w:bookmarkStart w:id="997" w:name="_Toc17643060"/>
      <w:r>
        <w:rPr>
          <w:rFonts w:hint="eastAsia"/>
        </w:rPr>
        <w:t>8.2.8.2</w:t>
      </w:r>
      <w:r>
        <w:rPr>
          <w:rFonts w:hint="eastAsia" w:hAnsi="黑体" w:cs="黑体"/>
        </w:rPr>
        <w:t>试验步骤要求</w:t>
      </w:r>
      <w:bookmarkEnd w:id="996"/>
      <w:bookmarkEnd w:id="997"/>
    </w:p>
    <w:p>
      <w:pPr>
        <w:pStyle w:val="27"/>
      </w:pPr>
      <w:r>
        <w:rPr>
          <w:rFonts w:hint="eastAsia"/>
        </w:rPr>
        <w:t>驾驶员做出双手脱离方向盘动作，动作结束后2s内，发出双手同时脱离方向盘的正确报警。测试次数不低于30次（各场景下至少测试两次），动作间隔不低于5s，准确率在</w:t>
      </w:r>
      <w:r>
        <w:t>95</w:t>
      </w:r>
      <w:r>
        <w:rPr>
          <w:rFonts w:hint="eastAsia"/>
        </w:rPr>
        <w:t>%以上。</w:t>
      </w:r>
    </w:p>
    <w:p>
      <w:pPr>
        <w:pStyle w:val="62"/>
        <w:spacing w:before="156" w:after="156"/>
        <w:rPr>
          <w:rFonts w:hAnsi="黑体" w:cs="黑体"/>
        </w:rPr>
      </w:pPr>
      <w:bookmarkStart w:id="998" w:name="_Toc17642905"/>
      <w:bookmarkStart w:id="999" w:name="_Toc17643061"/>
      <w:r>
        <w:rPr>
          <w:rFonts w:hint="eastAsia"/>
        </w:rPr>
        <w:t>8.2.8.3</w:t>
      </w:r>
      <w:r>
        <w:rPr>
          <w:rFonts w:hint="eastAsia" w:hAnsi="黑体" w:cs="黑体"/>
        </w:rPr>
        <w:t>试验结果分析</w:t>
      </w:r>
      <w:bookmarkEnd w:id="998"/>
      <w:bookmarkEnd w:id="999"/>
    </w:p>
    <w:p>
      <w:pPr>
        <w:pStyle w:val="27"/>
      </w:pPr>
      <w:r>
        <w:rPr>
          <w:rFonts w:hint="eastAsia"/>
        </w:rPr>
        <w:t>将终端双手同时脱离方向盘报警情况与预期结果进行对比判定，判定过程如下：</w:t>
      </w:r>
    </w:p>
    <w:p>
      <w:pPr>
        <w:pStyle w:val="145"/>
        <w:numPr>
          <w:ilvl w:val="0"/>
          <w:numId w:val="61"/>
        </w:numPr>
        <w:tabs>
          <w:tab w:val="center" w:pos="4201"/>
          <w:tab w:val="right" w:leader="dot" w:pos="9298"/>
        </w:tabs>
        <w:rPr>
          <w:rFonts w:hint="eastAsia"/>
          <w:szCs w:val="22"/>
        </w:rPr>
      </w:pPr>
      <w:r>
        <w:rPr>
          <w:rFonts w:hint="eastAsia"/>
          <w:szCs w:val="22"/>
        </w:rPr>
        <w:t>驾驶员双手同时脱离方向盘报警类型正确且报警时间在有效报警区间内时，判定未一次有效报警；</w:t>
      </w:r>
    </w:p>
    <w:p>
      <w:pPr>
        <w:pStyle w:val="145"/>
        <w:numPr>
          <w:ilvl w:val="0"/>
          <w:numId w:val="61"/>
        </w:numPr>
        <w:tabs>
          <w:tab w:val="center" w:pos="4201"/>
          <w:tab w:val="right" w:leader="dot" w:pos="9298"/>
        </w:tabs>
        <w:rPr>
          <w:rFonts w:hint="eastAsia"/>
          <w:szCs w:val="22"/>
        </w:rPr>
      </w:pPr>
      <w:r>
        <w:rPr>
          <w:rFonts w:hint="eastAsia"/>
          <w:szCs w:val="22"/>
        </w:rPr>
        <w:t>驾驶员双手同时脱离方向盘报警类型错误、报警时间不在有效报警区间内、对异常状态未产生报警或对正常状态产生报警，判定为一次误报，并记录此次误报报警类型；</w:t>
      </w:r>
    </w:p>
    <w:p>
      <w:pPr>
        <w:pStyle w:val="145"/>
        <w:numPr>
          <w:ilvl w:val="0"/>
          <w:numId w:val="61"/>
        </w:numPr>
        <w:tabs>
          <w:tab w:val="center" w:pos="4201"/>
          <w:tab w:val="right" w:leader="dot" w:pos="9298"/>
        </w:tabs>
        <w:rPr>
          <w:rFonts w:hint="eastAsia"/>
          <w:szCs w:val="22"/>
        </w:rPr>
      </w:pPr>
      <w:r>
        <w:rPr>
          <w:rFonts w:hint="eastAsia"/>
          <w:szCs w:val="22"/>
        </w:rPr>
        <w:t>完成试验步骤中要求的测试次数，根据3.6章节的公式计算出报警准确率；</w:t>
      </w:r>
    </w:p>
    <w:p>
      <w:pPr>
        <w:pStyle w:val="145"/>
        <w:numPr>
          <w:ilvl w:val="0"/>
          <w:numId w:val="61"/>
        </w:numPr>
        <w:tabs>
          <w:tab w:val="center" w:pos="4201"/>
          <w:tab w:val="right" w:leader="dot" w:pos="9298"/>
        </w:tabs>
        <w:rPr>
          <w:rFonts w:hint="eastAsia"/>
          <w:szCs w:val="22"/>
        </w:rPr>
      </w:pPr>
      <w:r>
        <w:rPr>
          <w:rFonts w:hint="eastAsia"/>
          <w:szCs w:val="22"/>
        </w:rPr>
        <w:t>试验步骤中驾驶员双手同时脱离方向盘的准确率达到95%以上，则本项试验通过。</w:t>
      </w:r>
      <w:bookmarkStart w:id="1000" w:name="_Toc1716"/>
    </w:p>
    <w:p>
      <w:pPr>
        <w:pStyle w:val="63"/>
        <w:spacing w:before="156" w:after="156"/>
      </w:pPr>
      <w:bookmarkStart w:id="1001" w:name="_Toc17642906"/>
      <w:bookmarkStart w:id="1002" w:name="_Toc17643180"/>
      <w:bookmarkStart w:id="1003" w:name="_Toc17643062"/>
      <w:r>
        <w:rPr>
          <w:rFonts w:hint="eastAsia"/>
        </w:rPr>
        <w:t>超时报警提醒（选配）</w:t>
      </w:r>
      <w:bookmarkEnd w:id="1001"/>
      <w:bookmarkEnd w:id="1002"/>
      <w:bookmarkEnd w:id="1003"/>
    </w:p>
    <w:p>
      <w:pPr>
        <w:pStyle w:val="62"/>
        <w:spacing w:before="156" w:after="156"/>
      </w:pPr>
      <w:bookmarkStart w:id="1004" w:name="_Toc17642907"/>
      <w:bookmarkStart w:id="1005" w:name="_Toc17643063"/>
      <w:r>
        <w:rPr>
          <w:rFonts w:hint="eastAsia"/>
        </w:rPr>
        <w:t>8.2.9.1</w:t>
      </w:r>
      <w:r>
        <w:rPr>
          <w:rFonts w:hint="eastAsia" w:hAnsi="黑体" w:cs="黑体"/>
        </w:rPr>
        <w:t>试验场景要求</w:t>
      </w:r>
      <w:bookmarkEnd w:id="1004"/>
      <w:bookmarkEnd w:id="1005"/>
    </w:p>
    <w:p>
      <w:pPr>
        <w:pStyle w:val="27"/>
      </w:pPr>
      <w:r>
        <w:rPr>
          <w:rFonts w:hint="eastAsia"/>
        </w:rPr>
        <w:t>终端正式使用设定超时报警阈值为4小时，休息阈值为20分钟（实际测试时超时阈值可设置5分钟，休息阈值设置为1分钟）为超时报警条件，以大于10km/h的模拟车速进行试验。</w:t>
      </w:r>
    </w:p>
    <w:p>
      <w:pPr>
        <w:pStyle w:val="62"/>
        <w:spacing w:before="156" w:after="156"/>
        <w:rPr>
          <w:rFonts w:hAnsi="黑体" w:cs="黑体"/>
        </w:rPr>
      </w:pPr>
      <w:bookmarkStart w:id="1006" w:name="_Toc17643064"/>
      <w:bookmarkStart w:id="1007" w:name="_Toc17642908"/>
      <w:r>
        <w:rPr>
          <w:rFonts w:hint="eastAsia"/>
        </w:rPr>
        <w:t>8.2.9.2</w:t>
      </w:r>
      <w:r>
        <w:rPr>
          <w:rFonts w:hint="eastAsia" w:hAnsi="黑体" w:cs="黑体"/>
        </w:rPr>
        <w:t>试验步骤要求</w:t>
      </w:r>
      <w:bookmarkEnd w:id="1006"/>
      <w:bookmarkEnd w:id="1007"/>
    </w:p>
    <w:p>
      <w:pPr>
        <w:pStyle w:val="145"/>
        <w:numPr>
          <w:ilvl w:val="0"/>
          <w:numId w:val="62"/>
        </w:numPr>
        <w:tabs>
          <w:tab w:val="center" w:pos="4201"/>
          <w:tab w:val="right" w:leader="dot" w:pos="9298"/>
        </w:tabs>
        <w:rPr>
          <w:rFonts w:hint="eastAsia"/>
          <w:szCs w:val="22"/>
        </w:rPr>
      </w:pPr>
      <w:r>
        <w:rPr>
          <w:rFonts w:hint="eastAsia"/>
          <w:szCs w:val="22"/>
        </w:rPr>
        <w:t>测试员通过驾驶员身份识别功能登签终端；</w:t>
      </w:r>
    </w:p>
    <w:p>
      <w:pPr>
        <w:pStyle w:val="145"/>
        <w:numPr>
          <w:ilvl w:val="0"/>
          <w:numId w:val="62"/>
        </w:numPr>
        <w:tabs>
          <w:tab w:val="center" w:pos="4201"/>
          <w:tab w:val="right" w:leader="dot" w:pos="9298"/>
        </w:tabs>
        <w:rPr>
          <w:rFonts w:hint="eastAsia"/>
          <w:szCs w:val="22"/>
        </w:rPr>
      </w:pPr>
      <w:r>
        <w:rPr>
          <w:rFonts w:hint="eastAsia"/>
          <w:szCs w:val="22"/>
        </w:rPr>
        <w:t>终端保持大于10km/h的模拟车速持续5分钟以上，设备准确发出超时报警提醒，判定、记录一次有效报警；无超时报警提醒或提示为其他报警的判定、记录一次误报警类型；</w:t>
      </w:r>
    </w:p>
    <w:p>
      <w:pPr>
        <w:pStyle w:val="145"/>
        <w:numPr>
          <w:ilvl w:val="0"/>
          <w:numId w:val="62"/>
        </w:numPr>
        <w:tabs>
          <w:tab w:val="center" w:pos="4201"/>
          <w:tab w:val="right" w:leader="dot" w:pos="9298"/>
        </w:tabs>
        <w:rPr>
          <w:rFonts w:hint="eastAsia"/>
          <w:szCs w:val="22"/>
        </w:rPr>
      </w:pPr>
      <w:r>
        <w:rPr>
          <w:rFonts w:hint="eastAsia"/>
          <w:szCs w:val="22"/>
        </w:rPr>
        <w:t>终端速度为0保持1分钟以上，终端解除超时报警；</w:t>
      </w:r>
    </w:p>
    <w:p>
      <w:pPr>
        <w:pStyle w:val="145"/>
        <w:numPr>
          <w:ilvl w:val="0"/>
          <w:numId w:val="62"/>
        </w:numPr>
        <w:tabs>
          <w:tab w:val="center" w:pos="4201"/>
          <w:tab w:val="right" w:leader="dot" w:pos="9298"/>
        </w:tabs>
        <w:rPr>
          <w:rFonts w:hint="eastAsia"/>
          <w:szCs w:val="22"/>
        </w:rPr>
      </w:pPr>
      <w:r>
        <w:rPr>
          <w:rFonts w:hint="eastAsia"/>
          <w:szCs w:val="22"/>
        </w:rPr>
        <w:t>重复上述步骤测试次数7次。</w:t>
      </w:r>
    </w:p>
    <w:p>
      <w:pPr>
        <w:pStyle w:val="62"/>
        <w:spacing w:before="156" w:after="156"/>
        <w:rPr>
          <w:rFonts w:hAnsi="黑体" w:cs="黑体"/>
        </w:rPr>
      </w:pPr>
      <w:bookmarkStart w:id="1008" w:name="_Toc17643065"/>
      <w:bookmarkStart w:id="1009" w:name="_Toc17642909"/>
      <w:r>
        <w:rPr>
          <w:rFonts w:hint="eastAsia"/>
        </w:rPr>
        <w:t>8.2.9.3</w:t>
      </w:r>
      <w:r>
        <w:rPr>
          <w:rFonts w:hint="eastAsia" w:hAnsi="黑体" w:cs="黑体"/>
        </w:rPr>
        <w:t>试验结果分析</w:t>
      </w:r>
      <w:bookmarkEnd w:id="1008"/>
      <w:bookmarkEnd w:id="1009"/>
    </w:p>
    <w:p>
      <w:pPr>
        <w:pStyle w:val="27"/>
        <w:rPr>
          <w:rFonts w:hint="eastAsia"/>
        </w:rPr>
      </w:pPr>
      <w:r>
        <w:rPr>
          <w:rFonts w:hint="eastAsia"/>
        </w:rPr>
        <w:t>测试步骤反复</w:t>
      </w:r>
      <w:r>
        <w:t>测试七次，</w:t>
      </w:r>
      <w:r>
        <w:rPr>
          <w:rFonts w:hint="eastAsia"/>
        </w:rPr>
        <w:t>终端</w:t>
      </w:r>
      <w:r>
        <w:t>应通过该七次测试中的五次，且不能连续两次测试失败</w:t>
      </w:r>
      <w:r>
        <w:rPr>
          <w:rFonts w:hint="eastAsia"/>
        </w:rPr>
        <w:t>，则判定本项试验通过</w:t>
      </w:r>
      <w:r>
        <w:t>。</w:t>
      </w:r>
      <w:bookmarkEnd w:id="1000"/>
    </w:p>
    <w:p>
      <w:pPr>
        <w:pStyle w:val="64"/>
        <w:ind w:hanging="709" w:hangingChars="338"/>
      </w:pPr>
      <w:bookmarkStart w:id="1010" w:name="_Toc15385"/>
      <w:r>
        <w:t xml:space="preserve"> </w:t>
      </w:r>
      <w:bookmarkStart w:id="1011" w:name="_Toc17643181"/>
      <w:bookmarkStart w:id="1012" w:name="_Toc31231"/>
      <w:bookmarkStart w:id="1013" w:name="_Toc31804_WPSOffice_Level1"/>
      <w:bookmarkStart w:id="1014" w:name="_Toc18138085"/>
      <w:bookmarkStart w:id="1015" w:name="_Toc17642910"/>
      <w:bookmarkStart w:id="1016" w:name="_Toc18102120"/>
      <w:bookmarkStart w:id="1017" w:name="_Toc17565903"/>
      <w:bookmarkStart w:id="1018" w:name="_Toc25226_WPSOffice_Level1"/>
      <w:bookmarkStart w:id="1019" w:name="_Toc13665125"/>
      <w:bookmarkStart w:id="1020" w:name="_Toc17643066"/>
      <w:r>
        <w:rPr>
          <w:rFonts w:hint="eastAsia"/>
        </w:rPr>
        <w:t>无线通信模块</w:t>
      </w:r>
      <w:bookmarkEnd w:id="1010"/>
      <w:bookmarkEnd w:id="1011"/>
      <w:bookmarkEnd w:id="1012"/>
      <w:bookmarkEnd w:id="1013"/>
      <w:bookmarkEnd w:id="1014"/>
      <w:bookmarkEnd w:id="1015"/>
      <w:bookmarkEnd w:id="1016"/>
      <w:bookmarkEnd w:id="1017"/>
      <w:bookmarkEnd w:id="1018"/>
      <w:bookmarkEnd w:id="1019"/>
      <w:bookmarkEnd w:id="1020"/>
      <w:r>
        <w:rPr>
          <w:rFonts w:hint="eastAsia"/>
        </w:rPr>
        <w:t xml:space="preserve"> </w:t>
      </w:r>
    </w:p>
    <w:p>
      <w:pPr>
        <w:pStyle w:val="27"/>
        <w:rPr>
          <w:rFonts w:hint="eastAsia"/>
        </w:rPr>
      </w:pPr>
      <w:r>
        <w:rPr>
          <w:rFonts w:hint="eastAsia"/>
        </w:rPr>
        <w:t>终端厂家必须提供具有cnas认证的检测机构的报告或工信部门出具的入网许可证。</w:t>
      </w:r>
    </w:p>
    <w:p>
      <w:pPr>
        <w:pStyle w:val="64"/>
        <w:ind w:hanging="709" w:hangingChars="338"/>
      </w:pPr>
      <w:bookmarkStart w:id="1021" w:name="_Toc17565904"/>
      <w:bookmarkStart w:id="1022" w:name="_Toc17643182"/>
      <w:bookmarkStart w:id="1023" w:name="_Toc17642911"/>
      <w:bookmarkStart w:id="1024" w:name="_Toc18138086"/>
      <w:bookmarkStart w:id="1025" w:name="_Toc18102121"/>
      <w:bookmarkStart w:id="1026" w:name="_Toc17643067"/>
      <w:r>
        <w:rPr>
          <w:rFonts w:hint="eastAsia"/>
        </w:rPr>
        <w:t>卫星定位（选配）</w:t>
      </w:r>
      <w:bookmarkEnd w:id="1021"/>
      <w:bookmarkEnd w:id="1022"/>
      <w:bookmarkEnd w:id="1023"/>
      <w:bookmarkEnd w:id="1024"/>
      <w:bookmarkEnd w:id="1025"/>
      <w:bookmarkEnd w:id="1026"/>
    </w:p>
    <w:p>
      <w:pPr>
        <w:pStyle w:val="27"/>
        <w:rPr>
          <w:rFonts w:hint="eastAsia"/>
        </w:rPr>
      </w:pPr>
      <w:r>
        <w:rPr>
          <w:rFonts w:hint="eastAsia"/>
        </w:rPr>
        <w:t>终端厂家必须提供具有cnas认证的检测机构出具的《JT/T 794-2011 道路运输车辆卫星定位系统车载终端技术要求》的检测报告。</w:t>
      </w:r>
    </w:p>
    <w:p>
      <w:pPr>
        <w:pStyle w:val="64"/>
        <w:ind w:hanging="709" w:hangingChars="338"/>
      </w:pPr>
      <w:bookmarkStart w:id="1027" w:name="_Toc17643068"/>
      <w:bookmarkStart w:id="1028" w:name="_Toc17565905"/>
      <w:bookmarkStart w:id="1029" w:name="_Toc17642912"/>
      <w:bookmarkStart w:id="1030" w:name="_Toc17643183"/>
      <w:bookmarkStart w:id="1031" w:name="_Toc18102122"/>
      <w:bookmarkStart w:id="1032" w:name="_Toc18138087"/>
      <w:r>
        <w:rPr>
          <w:rFonts w:hint="eastAsia"/>
        </w:rPr>
        <w:t>车载视频监控功能（选配）</w:t>
      </w:r>
      <w:bookmarkEnd w:id="1027"/>
      <w:bookmarkEnd w:id="1028"/>
      <w:bookmarkEnd w:id="1029"/>
      <w:bookmarkEnd w:id="1030"/>
      <w:bookmarkEnd w:id="1031"/>
      <w:bookmarkEnd w:id="1032"/>
    </w:p>
    <w:p>
      <w:pPr>
        <w:pStyle w:val="27"/>
      </w:pPr>
      <w:r>
        <w:rPr>
          <w:rFonts w:hint="eastAsia"/>
        </w:rPr>
        <w:t>终端厂家必须提供具有cnas认证的检测机构出具的《JT/T 1076-2016 道路运输车辆卫星定位系统车载视频终端技术要求》的检测报告。</w:t>
      </w:r>
      <w:bookmarkEnd w:id="504"/>
      <w:bookmarkEnd w:id="812"/>
    </w:p>
    <w:p>
      <w:pPr>
        <w:pStyle w:val="27"/>
      </w:pPr>
      <w:r>
        <w:br w:type="page"/>
      </w:r>
    </w:p>
    <w:p>
      <w:pPr>
        <w:pStyle w:val="83"/>
        <w:rPr>
          <w:rFonts w:hint="eastAsia"/>
        </w:rPr>
      </w:pPr>
      <w:r>
        <w:br w:type="textWrapping"/>
      </w:r>
      <w:bookmarkStart w:id="1033" w:name="_Toc17643069"/>
      <w:bookmarkStart w:id="1034" w:name="_Toc18138088"/>
      <w:bookmarkStart w:id="1035" w:name="_Toc17643184"/>
      <w:bookmarkStart w:id="1036" w:name="_Toc17565906"/>
      <w:bookmarkStart w:id="1037" w:name="_Toc18102123"/>
      <w:bookmarkStart w:id="1038" w:name="_Toc17642913"/>
      <w:r>
        <w:rPr>
          <w:rFonts w:hint="eastAsia"/>
        </w:rPr>
        <w:t>（规范性附录）</w:t>
      </w:r>
      <w:r>
        <w:br w:type="textWrapping"/>
      </w:r>
      <w:r>
        <w:rPr>
          <w:rFonts w:hint="eastAsia"/>
        </w:rPr>
        <w:t>外设数据通讯接口规格和要求</w:t>
      </w:r>
      <w:bookmarkEnd w:id="1033"/>
      <w:bookmarkEnd w:id="1034"/>
      <w:bookmarkEnd w:id="1035"/>
      <w:bookmarkEnd w:id="1036"/>
      <w:bookmarkEnd w:id="1037"/>
      <w:bookmarkEnd w:id="1038"/>
    </w:p>
    <w:p>
      <w:pPr>
        <w:pStyle w:val="78"/>
        <w:spacing w:before="312" w:after="312"/>
      </w:pPr>
      <w:r>
        <w:t>概述</w:t>
      </w:r>
    </w:p>
    <w:p>
      <w:pPr>
        <w:pStyle w:val="27"/>
      </w:pPr>
      <w:r>
        <w:t>外设与终端之间通讯方式应支持网络</w:t>
      </w:r>
      <w:r>
        <w:rPr>
          <w:rFonts w:hint="eastAsia"/>
        </w:rPr>
        <w:t>、</w:t>
      </w:r>
      <w:r>
        <w:t>RS485</w:t>
      </w:r>
      <w:r>
        <w:rPr>
          <w:rFonts w:hint="eastAsia"/>
        </w:rPr>
        <w:t>、</w:t>
      </w:r>
      <w:r>
        <w:t>RS232和CAN中的一种</w:t>
      </w:r>
      <w:r>
        <w:rPr>
          <w:rFonts w:hint="eastAsia"/>
        </w:rPr>
        <w:t>，</w:t>
      </w:r>
      <w:r>
        <w:t>根据通讯方式的特性</w:t>
      </w:r>
      <w:r>
        <w:rPr>
          <w:rFonts w:hint="eastAsia"/>
        </w:rPr>
        <w:t>，</w:t>
      </w:r>
      <w:r>
        <w:t>推荐使用航空件接口方式用于</w:t>
      </w:r>
      <w:r>
        <w:rPr>
          <w:rFonts w:hint="eastAsia"/>
        </w:rPr>
        <w:t>数据连接，</w:t>
      </w:r>
      <w:r>
        <w:t>直插端子方式用于RS232</w:t>
      </w:r>
      <w:r>
        <w:rPr>
          <w:rFonts w:hint="eastAsia"/>
        </w:rPr>
        <w:t>、</w:t>
      </w:r>
      <w:r>
        <w:t>RS485以及CAN总线连接</w:t>
      </w:r>
      <w:r>
        <w:rPr>
          <w:rFonts w:hint="eastAsia"/>
        </w:rPr>
        <w:t>。</w:t>
      </w:r>
    </w:p>
    <w:p>
      <w:pPr>
        <w:pStyle w:val="78"/>
        <w:spacing w:before="312" w:after="312"/>
      </w:pPr>
      <w:bookmarkStart w:id="1039" w:name="_Toc11703_WPSOffice_Level1"/>
      <w:bookmarkStart w:id="1040" w:name="_Toc27326_WPSOffice_Level1"/>
      <w:bookmarkStart w:id="1041" w:name="_Toc13665129"/>
      <w:bookmarkStart w:id="1042" w:name="_Toc11096"/>
      <w:bookmarkStart w:id="1043" w:name="_Toc13658932"/>
      <w:bookmarkStart w:id="1044" w:name="_Toc14118_WPSOffice_Level1"/>
      <w:bookmarkStart w:id="1045" w:name="_Toc13077_WPSOffice_Level1"/>
      <w:r>
        <w:t>航空件接口方式</w:t>
      </w:r>
      <w:bookmarkEnd w:id="1039"/>
      <w:bookmarkEnd w:id="1040"/>
      <w:bookmarkEnd w:id="1041"/>
      <w:bookmarkEnd w:id="1042"/>
      <w:bookmarkEnd w:id="1043"/>
      <w:bookmarkEnd w:id="1044"/>
      <w:bookmarkEnd w:id="1045"/>
    </w:p>
    <w:p>
      <w:pPr>
        <w:pStyle w:val="27"/>
      </w:pPr>
      <w:r>
        <w:t>航空件接口方式用于</w:t>
      </w:r>
      <w:r>
        <w:rPr>
          <w:rFonts w:hint="eastAsia"/>
        </w:rPr>
        <w:t>数据</w:t>
      </w:r>
      <w:r>
        <w:t>传输的线束连接</w:t>
      </w:r>
      <w:r>
        <w:rPr>
          <w:rFonts w:hint="eastAsia"/>
        </w:rPr>
        <w:t>，为了保证安装方便和使用过程中的牢固性，推荐使用RS765-6航空端子。</w:t>
      </w:r>
    </w:p>
    <w:p>
      <w:pPr>
        <w:pStyle w:val="27"/>
      </w:pPr>
      <w:r>
        <w:rPr>
          <w:rFonts w:hint="eastAsia"/>
        </w:rPr>
        <w:t>推荐</w:t>
      </w:r>
      <w:r>
        <w:t>终端侧接口具体要求如下</w:t>
      </w:r>
      <w:r>
        <w:rPr>
          <w:rFonts w:hint="eastAsia"/>
        </w:rPr>
        <w:t>：</w:t>
      </w:r>
    </w:p>
    <w:p>
      <w:pPr>
        <w:pStyle w:val="27"/>
      </w:pPr>
      <w:r>
        <w:t>型号</w:t>
      </w:r>
      <w:r>
        <w:rPr>
          <w:rFonts w:hint="eastAsia"/>
        </w:rPr>
        <w:t>：</w:t>
      </w:r>
      <w:r>
        <w:t>RS765</w:t>
      </w:r>
      <w:r>
        <w:rPr>
          <w:rFonts w:hint="eastAsia"/>
        </w:rPr>
        <w:t>（GX</w:t>
      </w:r>
      <w:r>
        <w:t>12</w:t>
      </w:r>
      <w:r>
        <w:rPr>
          <w:rFonts w:hint="eastAsia"/>
        </w:rPr>
        <w:t>）插座</w:t>
      </w:r>
    </w:p>
    <w:p>
      <w:pPr>
        <w:pStyle w:val="27"/>
      </w:pPr>
      <w:r>
        <w:t>规格</w:t>
      </w:r>
      <w:r>
        <w:rPr>
          <w:rFonts w:hint="eastAsia"/>
        </w:rPr>
        <w:t>：</w:t>
      </w:r>
      <w:r>
        <w:t>六芯</w:t>
      </w:r>
      <w:r>
        <w:rPr>
          <w:rFonts w:hint="eastAsia"/>
        </w:rPr>
        <w:t>，</w:t>
      </w:r>
      <w:r>
        <w:t>内针外纹</w:t>
      </w:r>
    </w:p>
    <w:p>
      <w:pPr>
        <w:pStyle w:val="27"/>
      </w:pPr>
      <w:r>
        <w:t>壳体</w:t>
      </w:r>
      <w:r>
        <w:rPr>
          <w:rFonts w:hint="eastAsia"/>
        </w:rPr>
        <w:t>：</w:t>
      </w:r>
      <w:r>
        <w:t>锌</w:t>
      </w:r>
      <w:r>
        <w:rPr>
          <w:rFonts w:hint="eastAsia"/>
        </w:rPr>
        <w:t>，</w:t>
      </w:r>
      <w:r>
        <w:t>镀镍</w:t>
      </w:r>
    </w:p>
    <w:p>
      <w:pPr>
        <w:pStyle w:val="27"/>
      </w:pPr>
      <w:r>
        <w:t>滚花螺母</w:t>
      </w:r>
      <w:r>
        <w:rPr>
          <w:rFonts w:hint="eastAsia"/>
        </w:rPr>
        <w:t>：</w:t>
      </w:r>
      <w:r>
        <w:t>铜</w:t>
      </w:r>
      <w:r>
        <w:rPr>
          <w:rFonts w:hint="eastAsia"/>
        </w:rPr>
        <w:t>，</w:t>
      </w:r>
      <w:r>
        <w:t>镀镍</w:t>
      </w:r>
    </w:p>
    <w:p>
      <w:pPr>
        <w:pStyle w:val="27"/>
      </w:pPr>
      <w:r>
        <w:t>安装直接</w:t>
      </w:r>
      <w:r>
        <w:rPr>
          <w:rFonts w:hint="eastAsia"/>
        </w:rPr>
        <w:t>：12mm</w:t>
      </w:r>
    </w:p>
    <w:p>
      <w:pPr>
        <w:pStyle w:val="27"/>
      </w:pPr>
      <w:r>
        <w:t>安装方式</w:t>
      </w:r>
      <w:r>
        <w:rPr>
          <w:rFonts w:hint="eastAsia"/>
        </w:rPr>
        <w:t>：</w:t>
      </w:r>
      <w:r>
        <w:t>螺纹旋紧</w:t>
      </w:r>
    </w:p>
    <w:p>
      <w:pPr>
        <w:pStyle w:val="27"/>
      </w:pPr>
      <w:r>
        <w:t>引脚信号定义</w:t>
      </w:r>
      <w:r>
        <w:rPr>
          <w:rFonts w:hint="eastAsia"/>
        </w:rPr>
        <w:t>：见表A-1</w:t>
      </w:r>
    </w:p>
    <w:p>
      <w:pPr>
        <w:pStyle w:val="27"/>
      </w:pPr>
      <w:r>
        <w:t>外设侧接口参照终端侧选择对应的端子和引脚信号</w:t>
      </w:r>
      <w:r>
        <w:rPr>
          <w:rFonts w:hint="eastAsia"/>
        </w:rPr>
        <w:t>。</w:t>
      </w:r>
    </w:p>
    <w:p>
      <w:pPr>
        <w:ind w:firstLine="420"/>
        <w:jc w:val="center"/>
        <w:rPr>
          <w:rFonts w:hint="eastAsia" w:ascii="黑体" w:hAnsi="黑体" w:eastAsia="黑体" w:cs="黑体"/>
        </w:rPr>
      </w:pPr>
      <w:r>
        <w:rPr>
          <w:rFonts w:hint="eastAsia" w:ascii="黑体" w:hAnsi="黑体" w:eastAsia="黑体" w:cs="黑体"/>
        </w:rPr>
        <w:t>表 A</w:t>
      </w:r>
      <w:r>
        <w:rPr>
          <w:rFonts w:hint="eastAsia" w:ascii="黑体" w:hAnsi="黑体" w:eastAsia="黑体" w:cs="黑体"/>
        </w:rPr>
        <w:noBreakHyphen/>
      </w:r>
      <w:r>
        <w:rPr>
          <w:rFonts w:hint="eastAsia" w:ascii="黑体" w:hAnsi="黑体" w:eastAsia="黑体" w:cs="黑体"/>
        </w:rPr>
        <w:fldChar w:fldCharType="begin"/>
      </w:r>
      <w:r>
        <w:rPr>
          <w:rFonts w:hint="eastAsia" w:ascii="黑体" w:hAnsi="黑体" w:eastAsia="黑体" w:cs="黑体"/>
        </w:rPr>
        <w:instrText xml:space="preserve"> SEQ 表 \* ARABIC \s 1 </w:instrText>
      </w:r>
      <w:r>
        <w:rPr>
          <w:rFonts w:hint="eastAsia" w:ascii="黑体" w:hAnsi="黑体" w:eastAsia="黑体" w:cs="黑体"/>
        </w:rPr>
        <w:fldChar w:fldCharType="separate"/>
      </w:r>
      <w:r>
        <w:rPr>
          <w:rFonts w:ascii="黑体" w:hAnsi="黑体" w:eastAsia="黑体" w:cs="黑体"/>
        </w:rPr>
        <w:t>1</w:t>
      </w:r>
      <w:r>
        <w:rPr>
          <w:rFonts w:hint="eastAsia" w:ascii="黑体" w:hAnsi="黑体" w:eastAsia="黑体" w:cs="黑体"/>
        </w:rPr>
        <w:fldChar w:fldCharType="end"/>
      </w:r>
      <w:r>
        <w:rPr>
          <w:rFonts w:hint="eastAsia" w:ascii="黑体" w:hAnsi="黑体" w:eastAsia="黑体" w:cs="黑体"/>
        </w:rPr>
        <w:t>航空接口引脚定义表</w:t>
      </w:r>
    </w:p>
    <w:tbl>
      <w:tblPr>
        <w:tblStyle w:val="35"/>
        <w:tblW w:w="25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318" w:type="dxa"/>
            <w:shd w:val="clear" w:color="auto" w:fill="FFFFFF"/>
            <w:vAlign w:val="center"/>
          </w:tcPr>
          <w:p>
            <w:pPr>
              <w:jc w:val="center"/>
              <w:rPr>
                <w:rFonts w:ascii="仿宋" w:hAnsi="仿宋" w:eastAsia="仿宋"/>
              </w:rPr>
            </w:pPr>
            <w:r>
              <w:rPr>
                <w:rFonts w:hint="eastAsia" w:ascii="仿宋" w:hAnsi="仿宋" w:eastAsia="仿宋"/>
              </w:rPr>
              <w:t>引脚序号</w:t>
            </w:r>
          </w:p>
        </w:tc>
        <w:tc>
          <w:tcPr>
            <w:tcW w:w="1234" w:type="dxa"/>
            <w:shd w:val="clear" w:color="auto" w:fill="FFFFFF"/>
            <w:vAlign w:val="center"/>
          </w:tcPr>
          <w:p>
            <w:pPr>
              <w:jc w:val="center"/>
              <w:rPr>
                <w:rFonts w:ascii="仿宋" w:hAnsi="仿宋" w:eastAsia="仿宋"/>
              </w:rPr>
            </w:pPr>
            <w:r>
              <w:rPr>
                <w:rFonts w:hint="eastAsia" w:ascii="仿宋" w:hAnsi="仿宋" w:eastAsia="仿宋"/>
              </w:rPr>
              <w:t>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8" w:type="dxa"/>
            <w:vAlign w:val="center"/>
          </w:tcPr>
          <w:p>
            <w:pPr>
              <w:jc w:val="center"/>
              <w:rPr>
                <w:rFonts w:ascii="仿宋" w:hAnsi="仿宋" w:eastAsia="仿宋"/>
              </w:rPr>
            </w:pPr>
            <w:r>
              <w:rPr>
                <w:rFonts w:hint="eastAsia" w:ascii="仿宋" w:hAnsi="仿宋" w:eastAsia="仿宋"/>
              </w:rPr>
              <w:t>4</w:t>
            </w:r>
          </w:p>
        </w:tc>
        <w:tc>
          <w:tcPr>
            <w:tcW w:w="1234" w:type="dxa"/>
            <w:vAlign w:val="center"/>
          </w:tcPr>
          <w:p>
            <w:pPr>
              <w:jc w:val="center"/>
              <w:rPr>
                <w:rFonts w:ascii="仿宋" w:hAnsi="仿宋" w:eastAsia="仿宋"/>
              </w:rPr>
            </w:pPr>
            <w:r>
              <w:rPr>
                <w:rFonts w:hint="eastAsia" w:ascii="仿宋" w:hAnsi="仿宋" w:eastAsia="仿宋"/>
              </w:rPr>
              <w:t>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8" w:type="dxa"/>
            <w:vAlign w:val="center"/>
          </w:tcPr>
          <w:p>
            <w:pPr>
              <w:jc w:val="center"/>
              <w:rPr>
                <w:rFonts w:ascii="仿宋" w:hAnsi="仿宋" w:eastAsia="仿宋"/>
              </w:rPr>
            </w:pPr>
            <w:r>
              <w:rPr>
                <w:rFonts w:hint="eastAsia" w:ascii="仿宋" w:hAnsi="仿宋" w:eastAsia="仿宋"/>
              </w:rPr>
              <w:t>5</w:t>
            </w:r>
          </w:p>
        </w:tc>
        <w:tc>
          <w:tcPr>
            <w:tcW w:w="1234" w:type="dxa"/>
            <w:vAlign w:val="center"/>
          </w:tcPr>
          <w:p>
            <w:pPr>
              <w:jc w:val="center"/>
              <w:rPr>
                <w:rFonts w:ascii="仿宋" w:hAnsi="仿宋" w:eastAsia="仿宋"/>
              </w:rPr>
            </w:pPr>
            <w:r>
              <w:rPr>
                <w:rFonts w:hint="eastAsia" w:ascii="仿宋" w:hAnsi="仿宋" w:eastAsia="仿宋"/>
              </w:rPr>
              <w:t>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8" w:type="dxa"/>
            <w:vAlign w:val="center"/>
          </w:tcPr>
          <w:p>
            <w:pPr>
              <w:jc w:val="center"/>
              <w:rPr>
                <w:rFonts w:ascii="仿宋" w:hAnsi="仿宋" w:eastAsia="仿宋"/>
              </w:rPr>
            </w:pPr>
            <w:r>
              <w:rPr>
                <w:rFonts w:hint="eastAsia" w:ascii="仿宋" w:hAnsi="仿宋" w:eastAsia="仿宋"/>
              </w:rPr>
              <w:t>1</w:t>
            </w:r>
          </w:p>
        </w:tc>
        <w:tc>
          <w:tcPr>
            <w:tcW w:w="1234" w:type="dxa"/>
            <w:vAlign w:val="center"/>
          </w:tcPr>
          <w:p>
            <w:pPr>
              <w:jc w:val="center"/>
              <w:rPr>
                <w:rFonts w:ascii="仿宋" w:hAnsi="仿宋" w:eastAsia="仿宋"/>
              </w:rPr>
            </w:pPr>
            <w:r>
              <w:rPr>
                <w:rFonts w:hint="eastAsia" w:ascii="仿宋" w:hAnsi="仿宋" w:eastAsia="仿宋"/>
              </w:rPr>
              <w:t>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8" w:type="dxa"/>
            <w:vAlign w:val="center"/>
          </w:tcPr>
          <w:p>
            <w:pPr>
              <w:jc w:val="center"/>
              <w:rPr>
                <w:rFonts w:ascii="仿宋" w:hAnsi="仿宋" w:eastAsia="仿宋"/>
              </w:rPr>
            </w:pPr>
            <w:r>
              <w:rPr>
                <w:rFonts w:hint="eastAsia" w:ascii="仿宋" w:hAnsi="仿宋" w:eastAsia="仿宋"/>
              </w:rPr>
              <w:t>2</w:t>
            </w:r>
          </w:p>
        </w:tc>
        <w:tc>
          <w:tcPr>
            <w:tcW w:w="1234" w:type="dxa"/>
            <w:vAlign w:val="center"/>
          </w:tcPr>
          <w:p>
            <w:pPr>
              <w:jc w:val="center"/>
              <w:rPr>
                <w:rFonts w:ascii="仿宋" w:hAnsi="仿宋" w:eastAsia="仿宋"/>
              </w:rPr>
            </w:pPr>
            <w:r>
              <w:rPr>
                <w:rFonts w:hint="eastAsia" w:ascii="仿宋" w:hAnsi="仿宋" w:eastAsia="仿宋"/>
              </w:rPr>
              <w:t>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8" w:type="dxa"/>
            <w:vAlign w:val="center"/>
          </w:tcPr>
          <w:p>
            <w:pPr>
              <w:jc w:val="center"/>
              <w:rPr>
                <w:rFonts w:ascii="仿宋" w:hAnsi="仿宋" w:eastAsia="仿宋"/>
              </w:rPr>
            </w:pPr>
            <w:r>
              <w:rPr>
                <w:rFonts w:hint="eastAsia" w:ascii="仿宋" w:hAnsi="仿宋" w:eastAsia="仿宋"/>
              </w:rPr>
              <w:t>3</w:t>
            </w:r>
          </w:p>
        </w:tc>
        <w:tc>
          <w:tcPr>
            <w:tcW w:w="1234" w:type="dxa"/>
            <w:vAlign w:val="center"/>
          </w:tcPr>
          <w:p>
            <w:pPr>
              <w:jc w:val="center"/>
              <w:rPr>
                <w:rFonts w:ascii="仿宋" w:hAnsi="仿宋" w:eastAsia="仿宋"/>
              </w:rPr>
            </w:pPr>
            <w:r>
              <w:rPr>
                <w:rFonts w:hint="eastAsia" w:ascii="仿宋" w:hAnsi="仿宋" w:eastAsia="仿宋"/>
              </w:rPr>
              <w:t>+12V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8" w:type="dxa"/>
            <w:vAlign w:val="center"/>
          </w:tcPr>
          <w:p>
            <w:pPr>
              <w:jc w:val="center"/>
              <w:rPr>
                <w:rFonts w:ascii="仿宋" w:hAnsi="仿宋" w:eastAsia="仿宋"/>
              </w:rPr>
            </w:pPr>
            <w:r>
              <w:rPr>
                <w:rFonts w:hint="eastAsia" w:ascii="仿宋" w:hAnsi="仿宋" w:eastAsia="仿宋"/>
              </w:rPr>
              <w:t>6</w:t>
            </w:r>
          </w:p>
        </w:tc>
        <w:tc>
          <w:tcPr>
            <w:tcW w:w="1234" w:type="dxa"/>
            <w:vAlign w:val="center"/>
          </w:tcPr>
          <w:p>
            <w:pPr>
              <w:jc w:val="center"/>
              <w:rPr>
                <w:rFonts w:ascii="仿宋" w:hAnsi="仿宋" w:eastAsia="仿宋"/>
              </w:rPr>
            </w:pPr>
            <w:r>
              <w:rPr>
                <w:rFonts w:hint="eastAsia" w:ascii="仿宋" w:hAnsi="仿宋" w:eastAsia="仿宋"/>
              </w:rPr>
              <w:t>GND</w:t>
            </w:r>
          </w:p>
        </w:tc>
      </w:tr>
    </w:tbl>
    <w:p>
      <w:pPr>
        <w:pStyle w:val="78"/>
        <w:spacing w:before="312" w:after="312"/>
      </w:pPr>
      <w:bookmarkStart w:id="1046" w:name="_Toc28769_WPSOffice_Level1"/>
      <w:bookmarkStart w:id="1047" w:name="_Toc25610_WPSOffice_Level1"/>
      <w:bookmarkStart w:id="1048" w:name="_Toc32440_WPSOffice_Level1"/>
      <w:bookmarkStart w:id="1049" w:name="_Toc5203_WPSOffice_Level1"/>
      <w:bookmarkStart w:id="1050" w:name="_Toc13658933"/>
      <w:bookmarkStart w:id="1051" w:name="_Toc13665130"/>
      <w:bookmarkStart w:id="1052" w:name="_Toc30581"/>
      <w:r>
        <w:t>直插端子接口方式</w:t>
      </w:r>
      <w:bookmarkEnd w:id="1046"/>
      <w:bookmarkEnd w:id="1047"/>
      <w:bookmarkEnd w:id="1048"/>
      <w:bookmarkEnd w:id="1049"/>
      <w:bookmarkEnd w:id="1050"/>
      <w:bookmarkEnd w:id="1051"/>
      <w:bookmarkEnd w:id="1052"/>
    </w:p>
    <w:p>
      <w:pPr>
        <w:pStyle w:val="27"/>
      </w:pPr>
      <w:r>
        <w:t>直插端子接口方式适用于RS232</w:t>
      </w:r>
      <w:r>
        <w:rPr>
          <w:rFonts w:hint="eastAsia"/>
        </w:rPr>
        <w:t>、</w:t>
      </w:r>
      <w:r>
        <w:t>RS485和CAN总线接线</w:t>
      </w:r>
      <w:r>
        <w:rPr>
          <w:rFonts w:hint="eastAsia"/>
        </w:rPr>
        <w:t>，</w:t>
      </w:r>
      <w:r>
        <w:t>终端侧</w:t>
      </w:r>
      <w:r>
        <w:rPr>
          <w:rFonts w:hint="eastAsia"/>
        </w:rPr>
        <w:t>推荐</w:t>
      </w:r>
      <w:r>
        <w:t>使用</w:t>
      </w:r>
      <w:r>
        <w:rPr>
          <w:rFonts w:hint="eastAsia"/>
        </w:rPr>
        <w:t>555</w:t>
      </w:r>
      <w:r>
        <w:t>9</w:t>
      </w:r>
      <w:r>
        <w:rPr>
          <w:rFonts w:hint="eastAsia"/>
        </w:rPr>
        <w:t>端子，外设推荐使用555</w:t>
      </w:r>
      <w:r>
        <w:t>7</w:t>
      </w:r>
      <w:r>
        <w:rPr>
          <w:rFonts w:hint="eastAsia"/>
        </w:rPr>
        <w:t>。</w:t>
      </w:r>
    </w:p>
    <w:p>
      <w:pPr>
        <w:pStyle w:val="27"/>
      </w:pPr>
      <w:r>
        <w:rPr>
          <w:rFonts w:hint="eastAsia"/>
        </w:rPr>
        <w:t>推荐</w:t>
      </w:r>
      <w:r>
        <w:t>终端侧接口具体要求如下</w:t>
      </w:r>
      <w:r>
        <w:rPr>
          <w:rFonts w:hint="eastAsia"/>
        </w:rPr>
        <w:t>：</w:t>
      </w:r>
    </w:p>
    <w:p>
      <w:pPr>
        <w:pStyle w:val="27"/>
      </w:pPr>
      <w:r>
        <w:t>型号</w:t>
      </w:r>
      <w:r>
        <w:rPr>
          <w:rFonts w:hint="eastAsia"/>
        </w:rPr>
        <w:t>：5559（小型）</w:t>
      </w:r>
    </w:p>
    <w:p>
      <w:pPr>
        <w:pStyle w:val="27"/>
      </w:pPr>
      <w:r>
        <w:t>规格</w:t>
      </w:r>
      <w:r>
        <w:rPr>
          <w:rFonts w:hint="eastAsia"/>
        </w:rPr>
        <w:t>：4芯</w:t>
      </w:r>
    </w:p>
    <w:p>
      <w:pPr>
        <w:pStyle w:val="27"/>
      </w:pPr>
      <w:r>
        <w:t>引脚间距</w:t>
      </w:r>
      <w:r>
        <w:rPr>
          <w:rFonts w:hint="eastAsia"/>
        </w:rPr>
        <w:t>：3.0mm</w:t>
      </w:r>
    </w:p>
    <w:p>
      <w:pPr>
        <w:pStyle w:val="27"/>
      </w:pPr>
      <w:r>
        <w:t>引脚编号</w:t>
      </w:r>
      <w:r>
        <w:rPr>
          <w:rFonts w:hint="eastAsia"/>
        </w:rPr>
        <w:t>：</w:t>
      </w:r>
      <w:r>
        <w:t>见图</w:t>
      </w:r>
      <w:r>
        <w:rPr>
          <w:rFonts w:hint="eastAsia"/>
        </w:rPr>
        <w:t>A-1</w:t>
      </w:r>
    </w:p>
    <w:p>
      <w:pPr>
        <w:pStyle w:val="27"/>
      </w:pPr>
      <w:r>
        <w:pict>
          <v:shape id="图片 3" o:spid="_x0000_s1046" o:spt="75" type="#_x0000_t75" style="position:absolute;left:0pt;margin-left:153.2pt;margin-top:16.05pt;height:114.65pt;width:115.85pt;mso-wrap-distance-bottom:0pt;mso-wrap-distance-top:0pt;z-index:1024;mso-width-relative:page;mso-height-relative:page;" filled="f" o:preferrelative="t" stroked="f" coordsize="21600,21600" o:allowoverlap="f">
            <v:path/>
            <v:fill on="f" focussize="0,0"/>
            <v:stroke on="f" joinstyle="miter"/>
            <v:imagedata r:id="rId42" o:title=""/>
            <o:lock v:ext="edit" aspectratio="t"/>
            <w10:wrap type="topAndBottom"/>
          </v:shape>
        </w:pict>
      </w:r>
      <w:r>
        <w:t>引脚定义</w:t>
      </w:r>
      <w:r>
        <w:rPr>
          <w:rFonts w:hint="eastAsia"/>
        </w:rPr>
        <w:t>：</w:t>
      </w:r>
      <w:r>
        <w:t>见</w:t>
      </w:r>
      <w:r>
        <w:rPr>
          <w:rFonts w:hint="eastAsia"/>
        </w:rPr>
        <w:t>表A</w:t>
      </w:r>
      <w:r>
        <w:noBreakHyphen/>
      </w:r>
      <w:r>
        <w:fldChar w:fldCharType="begin"/>
      </w:r>
      <w:r>
        <w:instrText xml:space="preserve"> SEQ 表 \* ARABIC \s 1 </w:instrText>
      </w:r>
      <w:r>
        <w:fldChar w:fldCharType="separate"/>
      </w:r>
      <w:r>
        <w:t>2</w:t>
      </w:r>
      <w:r>
        <w:fldChar w:fldCharType="end"/>
      </w:r>
    </w:p>
    <w:p>
      <w:pPr>
        <w:ind w:firstLine="420"/>
        <w:jc w:val="center"/>
        <w:rPr>
          <w:rFonts w:hint="eastAsia" w:ascii="黑体" w:hAnsi="黑体" w:eastAsia="黑体" w:cs="黑体"/>
        </w:rPr>
      </w:pPr>
      <w:r>
        <w:pict>
          <v:shape id="文本框 9" o:spid="_x0000_s1048" o:spt="202" type="#_x0000_t202" style="position:absolute;left:0pt;margin-left:137.95pt;margin-top:93.3pt;height:30.95pt;width:136.45pt;z-index:102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">
            <v:path/>
            <v:fill on="f" focussize="0,0"/>
            <v:stroke on="f" weight="0.5pt" joinstyle="miter"/>
            <v:imagedata o:title=""/>
            <o:lock v:ext="edit"/>
            <v:textbox>
              <w:txbxContent>
                <w:p>
                  <w:pPr>
                    <w:ind w:firstLine="420"/>
                    <w:jc w:val="center"/>
                    <w:rPr>
                      <w:rFonts w:ascii="黑体" w:hAnsi="黑体" w:eastAsia="黑体" w:cs="黑体"/>
                    </w:rPr>
                  </w:pPr>
                  <w:r>
                    <w:rPr>
                      <w:rFonts w:hint="eastAsia" w:ascii="黑体" w:hAnsi="黑体" w:eastAsia="黑体" w:cs="黑体"/>
                    </w:rPr>
                    <w:t>图A-1 5559引脚编号</w:t>
                  </w:r>
                </w:p>
              </w:txbxContent>
            </v:textbox>
          </v:shape>
        </w:pict>
      </w:r>
      <w:r>
        <w:rPr>
          <w:rFonts w:hint="eastAsia" w:ascii="黑体" w:hAnsi="黑体" w:eastAsia="黑体" w:cs="黑体"/>
        </w:rPr>
        <w:t>表 A-1 5559接线端子引脚定义</w:t>
      </w:r>
    </w:p>
    <w:tbl>
      <w:tblPr>
        <w:tblStyle w:val="35"/>
        <w:tblW w:w="5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037"/>
        <w:gridCol w:w="1037"/>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806" w:type="dxa"/>
            <w:tcBorders>
              <w:tl2br w:val="single" w:color="auto" w:sz="4" w:space="0"/>
            </w:tcBorders>
          </w:tcPr>
          <w:p>
            <w:pPr>
              <w:ind w:firstLine="420"/>
              <w:jc w:val="left"/>
              <w:rPr>
                <w:rFonts w:hint="eastAsia" w:ascii="仿宋" w:hAnsi="仿宋" w:eastAsia="仿宋"/>
              </w:rPr>
            </w:pPr>
            <w:r>
              <w:rPr>
                <w:rFonts w:hint="eastAsia" w:ascii="仿宋" w:hAnsi="仿宋" w:eastAsia="仿宋"/>
              </w:rPr>
              <w:t xml:space="preserve">    引脚</w:t>
            </w:r>
          </w:p>
          <w:p>
            <w:pPr>
              <w:ind w:firstLine="210" w:firstLineChars="100"/>
              <w:jc w:val="left"/>
              <w:rPr>
                <w:rFonts w:hint="eastAsia" w:ascii="仿宋" w:hAnsi="仿宋" w:eastAsia="仿宋"/>
              </w:rPr>
            </w:pPr>
            <w:r>
              <w:rPr>
                <w:rFonts w:hint="eastAsia" w:ascii="仿宋" w:hAnsi="仿宋" w:eastAsia="仿宋"/>
              </w:rPr>
              <w:t>总线</w:t>
            </w:r>
          </w:p>
        </w:tc>
        <w:tc>
          <w:tcPr>
            <w:tcW w:w="1037" w:type="dxa"/>
            <w:vAlign w:val="center"/>
          </w:tcPr>
          <w:p>
            <w:pPr>
              <w:jc w:val="center"/>
              <w:rPr>
                <w:rFonts w:ascii="仿宋" w:hAnsi="仿宋" w:eastAsia="仿宋"/>
              </w:rPr>
            </w:pPr>
            <w:r>
              <w:rPr>
                <w:rFonts w:hint="eastAsia" w:ascii="仿宋" w:hAnsi="仿宋" w:eastAsia="仿宋"/>
              </w:rPr>
              <w:t>1</w:t>
            </w:r>
          </w:p>
        </w:tc>
        <w:tc>
          <w:tcPr>
            <w:tcW w:w="1037" w:type="dxa"/>
            <w:vAlign w:val="center"/>
          </w:tcPr>
          <w:p>
            <w:pPr>
              <w:jc w:val="center"/>
              <w:rPr>
                <w:rFonts w:ascii="仿宋" w:hAnsi="仿宋" w:eastAsia="仿宋"/>
              </w:rPr>
            </w:pPr>
            <w:r>
              <w:rPr>
                <w:rFonts w:hint="eastAsia" w:ascii="仿宋" w:hAnsi="仿宋" w:eastAsia="仿宋"/>
              </w:rPr>
              <w:t>2</w:t>
            </w:r>
          </w:p>
        </w:tc>
        <w:tc>
          <w:tcPr>
            <w:tcW w:w="1037" w:type="dxa"/>
            <w:vAlign w:val="center"/>
          </w:tcPr>
          <w:p>
            <w:pPr>
              <w:jc w:val="center"/>
              <w:rPr>
                <w:rFonts w:ascii="仿宋" w:hAnsi="仿宋" w:eastAsia="仿宋"/>
              </w:rPr>
            </w:pPr>
            <w:r>
              <w:rPr>
                <w:rFonts w:hint="eastAsia" w:ascii="仿宋" w:hAnsi="仿宋" w:eastAsia="仿宋"/>
              </w:rPr>
              <w:t>3</w:t>
            </w:r>
          </w:p>
        </w:tc>
        <w:tc>
          <w:tcPr>
            <w:tcW w:w="1037" w:type="dxa"/>
            <w:vAlign w:val="center"/>
          </w:tcPr>
          <w:p>
            <w:pPr>
              <w:jc w:val="center"/>
              <w:rPr>
                <w:rFonts w:ascii="仿宋" w:hAnsi="仿宋" w:eastAsia="仿宋"/>
              </w:rPr>
            </w:pPr>
            <w:r>
              <w:rPr>
                <w:rFonts w:hint="eastAsia" w:ascii="仿宋" w:hAnsi="仿宋" w:eastAsia="仿宋"/>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6" w:type="dxa"/>
            <w:vAlign w:val="center"/>
          </w:tcPr>
          <w:p>
            <w:pPr>
              <w:jc w:val="center"/>
              <w:rPr>
                <w:rFonts w:ascii="仿宋" w:hAnsi="仿宋" w:eastAsia="仿宋"/>
              </w:rPr>
            </w:pPr>
            <w:r>
              <w:rPr>
                <w:rFonts w:hint="eastAsia" w:ascii="仿宋" w:hAnsi="仿宋" w:eastAsia="仿宋"/>
              </w:rPr>
              <w:t>RS485</w:t>
            </w:r>
          </w:p>
        </w:tc>
        <w:tc>
          <w:tcPr>
            <w:tcW w:w="1037" w:type="dxa"/>
            <w:vAlign w:val="center"/>
          </w:tcPr>
          <w:p>
            <w:pPr>
              <w:jc w:val="center"/>
              <w:rPr>
                <w:rFonts w:ascii="仿宋" w:hAnsi="仿宋" w:eastAsia="仿宋"/>
              </w:rPr>
            </w:pPr>
            <w:r>
              <w:rPr>
                <w:rFonts w:hint="eastAsia" w:ascii="仿宋" w:hAnsi="仿宋" w:eastAsia="仿宋"/>
              </w:rPr>
              <w:t>NC</w:t>
            </w:r>
          </w:p>
        </w:tc>
        <w:tc>
          <w:tcPr>
            <w:tcW w:w="1037" w:type="dxa"/>
            <w:vAlign w:val="center"/>
          </w:tcPr>
          <w:p>
            <w:pPr>
              <w:jc w:val="center"/>
              <w:rPr>
                <w:rFonts w:ascii="仿宋" w:hAnsi="仿宋" w:eastAsia="仿宋"/>
              </w:rPr>
            </w:pPr>
            <w:r>
              <w:rPr>
                <w:rFonts w:hint="eastAsia" w:ascii="仿宋" w:hAnsi="仿宋" w:eastAsia="仿宋"/>
              </w:rPr>
              <w:t>B</w:t>
            </w:r>
          </w:p>
        </w:tc>
        <w:tc>
          <w:tcPr>
            <w:tcW w:w="1037" w:type="dxa"/>
            <w:vAlign w:val="center"/>
          </w:tcPr>
          <w:p>
            <w:pPr>
              <w:jc w:val="center"/>
              <w:rPr>
                <w:rFonts w:ascii="仿宋" w:hAnsi="仿宋" w:eastAsia="仿宋"/>
              </w:rPr>
            </w:pPr>
            <w:r>
              <w:rPr>
                <w:rFonts w:hint="eastAsia" w:ascii="仿宋" w:hAnsi="仿宋" w:eastAsia="仿宋"/>
              </w:rPr>
              <w:t>A</w:t>
            </w:r>
          </w:p>
        </w:tc>
        <w:tc>
          <w:tcPr>
            <w:tcW w:w="1037" w:type="dxa"/>
            <w:vAlign w:val="center"/>
          </w:tcPr>
          <w:p>
            <w:pPr>
              <w:jc w:val="center"/>
              <w:rPr>
                <w:rFonts w:ascii="仿宋" w:hAnsi="仿宋" w:eastAsia="仿宋"/>
              </w:rPr>
            </w:pPr>
            <w:r>
              <w:rPr>
                <w:rFonts w:hint="eastAsia" w:ascii="仿宋" w:hAnsi="仿宋" w:eastAsia="仿宋"/>
              </w:rPr>
              <w:t>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6" w:type="dxa"/>
            <w:vAlign w:val="center"/>
          </w:tcPr>
          <w:p>
            <w:pPr>
              <w:jc w:val="center"/>
              <w:rPr>
                <w:rFonts w:ascii="仿宋" w:hAnsi="仿宋" w:eastAsia="仿宋"/>
              </w:rPr>
            </w:pPr>
            <w:r>
              <w:rPr>
                <w:rFonts w:hint="eastAsia" w:ascii="仿宋" w:hAnsi="仿宋" w:eastAsia="仿宋"/>
              </w:rPr>
              <w:t>RS232</w:t>
            </w:r>
          </w:p>
        </w:tc>
        <w:tc>
          <w:tcPr>
            <w:tcW w:w="1037" w:type="dxa"/>
            <w:vAlign w:val="center"/>
          </w:tcPr>
          <w:p>
            <w:pPr>
              <w:jc w:val="center"/>
              <w:rPr>
                <w:rFonts w:ascii="仿宋" w:hAnsi="仿宋" w:eastAsia="仿宋"/>
              </w:rPr>
            </w:pPr>
            <w:r>
              <w:rPr>
                <w:rFonts w:hint="eastAsia" w:ascii="仿宋" w:hAnsi="仿宋" w:eastAsia="仿宋"/>
              </w:rPr>
              <w:t>NC</w:t>
            </w:r>
          </w:p>
        </w:tc>
        <w:tc>
          <w:tcPr>
            <w:tcW w:w="1037" w:type="dxa"/>
            <w:vAlign w:val="center"/>
          </w:tcPr>
          <w:p>
            <w:pPr>
              <w:jc w:val="center"/>
              <w:rPr>
                <w:rFonts w:ascii="仿宋" w:hAnsi="仿宋" w:eastAsia="仿宋"/>
              </w:rPr>
            </w:pPr>
            <w:r>
              <w:rPr>
                <w:rFonts w:hint="eastAsia" w:ascii="仿宋" w:hAnsi="仿宋" w:eastAsia="仿宋"/>
              </w:rPr>
              <w:t>RXD</w:t>
            </w:r>
          </w:p>
        </w:tc>
        <w:tc>
          <w:tcPr>
            <w:tcW w:w="1037" w:type="dxa"/>
            <w:vAlign w:val="center"/>
          </w:tcPr>
          <w:p>
            <w:pPr>
              <w:jc w:val="center"/>
              <w:rPr>
                <w:rFonts w:ascii="仿宋" w:hAnsi="仿宋" w:eastAsia="仿宋"/>
              </w:rPr>
            </w:pPr>
            <w:r>
              <w:rPr>
                <w:rFonts w:hint="eastAsia" w:ascii="仿宋" w:hAnsi="仿宋" w:eastAsia="仿宋"/>
              </w:rPr>
              <w:t>TXD</w:t>
            </w:r>
          </w:p>
        </w:tc>
        <w:tc>
          <w:tcPr>
            <w:tcW w:w="1037" w:type="dxa"/>
            <w:vAlign w:val="center"/>
          </w:tcPr>
          <w:p>
            <w:pPr>
              <w:jc w:val="center"/>
              <w:rPr>
                <w:rFonts w:ascii="仿宋" w:hAnsi="仿宋" w:eastAsia="仿宋"/>
              </w:rPr>
            </w:pPr>
            <w:r>
              <w:rPr>
                <w:rFonts w:hint="eastAsia" w:ascii="仿宋" w:hAnsi="仿宋" w:eastAsia="仿宋"/>
              </w:rPr>
              <w:t>GND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6" w:type="dxa"/>
            <w:vAlign w:val="center"/>
          </w:tcPr>
          <w:p>
            <w:pPr>
              <w:jc w:val="center"/>
              <w:rPr>
                <w:rFonts w:ascii="仿宋" w:hAnsi="仿宋" w:eastAsia="仿宋"/>
              </w:rPr>
            </w:pPr>
            <w:r>
              <w:rPr>
                <w:rFonts w:hint="eastAsia" w:ascii="仿宋" w:hAnsi="仿宋" w:eastAsia="仿宋"/>
              </w:rPr>
              <w:t>CAN</w:t>
            </w:r>
          </w:p>
        </w:tc>
        <w:tc>
          <w:tcPr>
            <w:tcW w:w="1037" w:type="dxa"/>
            <w:vAlign w:val="center"/>
          </w:tcPr>
          <w:p>
            <w:pPr>
              <w:jc w:val="center"/>
              <w:rPr>
                <w:rFonts w:ascii="仿宋" w:hAnsi="仿宋" w:eastAsia="仿宋"/>
              </w:rPr>
            </w:pPr>
            <w:r>
              <w:rPr>
                <w:rFonts w:hint="eastAsia" w:ascii="仿宋" w:hAnsi="仿宋" w:eastAsia="仿宋"/>
              </w:rPr>
              <w:t>NC</w:t>
            </w:r>
          </w:p>
        </w:tc>
        <w:tc>
          <w:tcPr>
            <w:tcW w:w="1037" w:type="dxa"/>
            <w:vAlign w:val="center"/>
          </w:tcPr>
          <w:p>
            <w:pPr>
              <w:jc w:val="center"/>
              <w:rPr>
                <w:rFonts w:ascii="仿宋" w:hAnsi="仿宋" w:eastAsia="仿宋"/>
              </w:rPr>
            </w:pPr>
            <w:r>
              <w:rPr>
                <w:rFonts w:hint="eastAsia" w:ascii="仿宋" w:hAnsi="仿宋" w:eastAsia="仿宋"/>
              </w:rPr>
              <w:t>CAN_H</w:t>
            </w:r>
          </w:p>
        </w:tc>
        <w:tc>
          <w:tcPr>
            <w:tcW w:w="1037" w:type="dxa"/>
            <w:vAlign w:val="center"/>
          </w:tcPr>
          <w:p>
            <w:pPr>
              <w:jc w:val="center"/>
              <w:rPr>
                <w:rFonts w:ascii="仿宋" w:hAnsi="仿宋" w:eastAsia="仿宋"/>
              </w:rPr>
            </w:pPr>
            <w:r>
              <w:rPr>
                <w:rFonts w:hint="eastAsia" w:ascii="仿宋" w:hAnsi="仿宋" w:eastAsia="仿宋"/>
              </w:rPr>
              <w:t>CAN_L</w:t>
            </w:r>
          </w:p>
        </w:tc>
        <w:tc>
          <w:tcPr>
            <w:tcW w:w="1037" w:type="dxa"/>
            <w:vAlign w:val="center"/>
          </w:tcPr>
          <w:p>
            <w:pPr>
              <w:jc w:val="center"/>
              <w:rPr>
                <w:rFonts w:ascii="仿宋" w:hAnsi="仿宋" w:eastAsia="仿宋"/>
              </w:rPr>
            </w:pPr>
            <w:r>
              <w:rPr>
                <w:rFonts w:hint="eastAsia" w:ascii="仿宋" w:hAnsi="仿宋" w:eastAsia="仿宋"/>
              </w:rPr>
              <w:t>NC</w:t>
            </w:r>
          </w:p>
        </w:tc>
      </w:tr>
    </w:tbl>
    <w:p>
      <w:pPr>
        <w:pStyle w:val="27"/>
      </w:pPr>
      <w:r>
        <w:rPr>
          <w:rFonts w:hint="eastAsia"/>
        </w:rPr>
        <w:t>推荐</w:t>
      </w:r>
      <w:r>
        <w:t>外设侧接口具体要求如下</w:t>
      </w:r>
      <w:r>
        <w:rPr>
          <w:rFonts w:hint="eastAsia"/>
        </w:rPr>
        <w:t>：</w:t>
      </w:r>
    </w:p>
    <w:p>
      <w:pPr>
        <w:pStyle w:val="27"/>
      </w:pPr>
      <w:r>
        <w:t>型号</w:t>
      </w:r>
      <w:r>
        <w:rPr>
          <w:rFonts w:hint="eastAsia"/>
        </w:rPr>
        <w:t>：5557（小型）</w:t>
      </w:r>
    </w:p>
    <w:p>
      <w:pPr>
        <w:pStyle w:val="27"/>
      </w:pPr>
      <w:r>
        <w:t>规格</w:t>
      </w:r>
      <w:r>
        <w:rPr>
          <w:rFonts w:hint="eastAsia"/>
        </w:rPr>
        <w:t>：4芯</w:t>
      </w:r>
    </w:p>
    <w:p>
      <w:pPr>
        <w:pStyle w:val="27"/>
      </w:pPr>
      <w:r>
        <w:t>引脚间距</w:t>
      </w:r>
      <w:r>
        <w:rPr>
          <w:rFonts w:hint="eastAsia"/>
        </w:rPr>
        <w:t>：3.0mm</w:t>
      </w:r>
    </w:p>
    <w:p>
      <w:pPr>
        <w:pStyle w:val="27"/>
      </w:pPr>
      <w:r>
        <w:t>引脚编号</w:t>
      </w:r>
      <w:r>
        <w:rPr>
          <w:rFonts w:hint="eastAsia"/>
        </w:rPr>
        <w:t>：</w:t>
      </w:r>
      <w:r>
        <w:t>见图</w:t>
      </w:r>
      <w:r>
        <w:rPr>
          <w:rFonts w:hint="eastAsia"/>
        </w:rPr>
        <w:t>A-2</w:t>
      </w:r>
    </w:p>
    <w:p>
      <w:pPr>
        <w:pStyle w:val="27"/>
        <w:rPr>
          <w:rFonts w:hint="eastAsia"/>
        </w:rPr>
      </w:pPr>
      <w:r>
        <w:t>引脚定义</w:t>
      </w:r>
      <w:r>
        <w:rPr>
          <w:rFonts w:hint="eastAsia"/>
        </w:rPr>
        <w:t>：</w:t>
      </w:r>
      <w:r>
        <w:t>见表A-</w:t>
      </w:r>
      <w:r>
        <w:rPr>
          <w:rFonts w:hint="eastAsia"/>
        </w:rPr>
        <w:t>2</w:t>
      </w:r>
    </w:p>
    <w:p>
      <w:pPr>
        <w:rPr>
          <w:rFonts w:hint="eastAsia" w:ascii="仿宋" w:hAnsi="仿宋" w:eastAsia="仿宋"/>
        </w:rPr>
      </w:pPr>
      <w:r>
        <w:pict>
          <v:shape id="_x0000_s1050" o:spid="_x0000_s1050" o:spt="202" type="#_x0000_t202" style="position:absolute;left:0pt;margin-left:160.8pt;margin-top:110pt;height:30.95pt;width:136.45pt;z-index:102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">
            <v:path/>
            <v:fill on="f" focussize="0,0"/>
            <v:stroke on="f" weight="0.5pt" joinstyle="miter"/>
            <v:imagedata o:title=""/>
            <o:lock v:ext="edit"/>
            <v:textbox>
              <w:txbxContent>
                <w:p>
                  <w:pPr>
                    <w:jc w:val="center"/>
                    <w:rPr>
                      <w:rFonts w:ascii="黑体" w:hAnsi="黑体" w:eastAsia="黑体" w:cs="黑体"/>
                    </w:rPr>
                  </w:pPr>
                  <w:r>
                    <w:rPr>
                      <w:rFonts w:hint="eastAsia" w:ascii="黑体" w:hAnsi="黑体" w:eastAsia="黑体" w:cs="黑体"/>
                    </w:rPr>
                    <w:t>图A-2 5557引脚编号</w:t>
                  </w:r>
                </w:p>
              </w:txbxContent>
            </v:textbox>
          </v:shape>
        </w:pict>
      </w:r>
      <w:r>
        <w:rPr>
          <w:lang w:val="en-US" w:eastAsia="zh-CN"/>
        </w:rPr>
        <w:pict>
          <v:shape id="图片 5" o:spid="_x0000_s1047" o:spt="75" type="#_x0000_t75" style="position:absolute;left:0pt;margin-left:156.15pt;margin-top:0.65pt;height:103.65pt;width:133.4pt;mso-wrap-distance-bottom:0pt;mso-wrap-distance-top:0pt;z-index:1024;mso-width-relative:page;mso-height-relative:page;" filled="f" o:preferrelative="t" stroked="f" coordsize="21600,21600">
            <v:path/>
            <v:fill on="f" focussize="0,0"/>
            <v:stroke on="f" joinstyle="miter"/>
            <v:imagedata r:id="rId43" o:title=""/>
            <o:lock v:ext="edit" aspectratio="t"/>
            <w10:wrap type="topAndBottom"/>
          </v:shape>
        </w:pict>
      </w:r>
    </w:p>
    <w:p>
      <w:pPr>
        <w:ind w:firstLine="420"/>
        <w:rPr>
          <w:rFonts w:ascii="仿宋" w:hAnsi="仿宋" w:eastAsia="仿宋"/>
        </w:rPr>
      </w:pPr>
      <w:r>
        <w:rPr>
          <w:lang w:val="en-US" w:eastAsia="zh-CN"/>
        </w:rPr>
        <w:pict>
          <v:shape id="文本框 10" o:spid="_x0000_s1049" o:spt="202" type="#_x0000_t202" style="position:absolute;left:0pt;margin-left:139.85pt;margin-top:-664.35pt;height:30.95pt;width:136.45pt;z-index:102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">
            <v:path/>
            <v:fill on="f" focussize="0,0"/>
            <v:stroke on="f" weight="0.5pt" joinstyle="miter"/>
            <v:imagedata o:title=""/>
            <o:lock v:ext="edit"/>
            <v:textbox>
              <w:txbxContent>
                <w:p>
                  <w:pPr>
                    <w:ind w:firstLine="420"/>
                    <w:rPr>
                      <w:rFonts w:ascii="黑体" w:hAnsi="黑体" w:eastAsia="黑体" w:cs="黑体"/>
                    </w:rPr>
                  </w:pPr>
                  <w:r>
                    <w:rPr>
                      <w:rFonts w:hint="eastAsia" w:ascii="黑体" w:hAnsi="黑体" w:eastAsia="黑体" w:cs="黑体"/>
                    </w:rPr>
                    <w:t>图A-2 5557引脚编号</w:t>
                  </w:r>
                </w:p>
              </w:txbxContent>
            </v:textbox>
          </v:shape>
        </w:pict>
      </w:r>
    </w:p>
    <w:p>
      <w:pPr>
        <w:ind w:firstLine="420"/>
        <w:jc w:val="center"/>
        <w:rPr>
          <w:rFonts w:hint="eastAsia" w:ascii="黑体" w:hAnsi="黑体" w:eastAsia="黑体" w:cs="黑体"/>
        </w:rPr>
      </w:pPr>
      <w:r>
        <w:rPr>
          <w:rFonts w:hint="eastAsia" w:ascii="黑体" w:hAnsi="黑体" w:eastAsia="黑体" w:cs="黑体"/>
        </w:rPr>
        <w:t>表 A-2 5557接线端子引脚定义</w:t>
      </w:r>
    </w:p>
    <w:tbl>
      <w:tblPr>
        <w:tblStyle w:val="35"/>
        <w:tblW w:w="5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037"/>
        <w:gridCol w:w="1037"/>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806" w:type="dxa"/>
            <w:tcBorders>
              <w:tl2br w:val="single" w:color="auto" w:sz="4" w:space="0"/>
            </w:tcBorders>
          </w:tcPr>
          <w:p>
            <w:pPr>
              <w:ind w:firstLine="420"/>
              <w:jc w:val="left"/>
              <w:rPr>
                <w:rFonts w:hint="eastAsia" w:ascii="仿宋" w:hAnsi="仿宋" w:eastAsia="仿宋"/>
              </w:rPr>
            </w:pPr>
            <w:r>
              <w:rPr>
                <w:rFonts w:hint="eastAsia" w:ascii="仿宋" w:hAnsi="仿宋" w:eastAsia="仿宋"/>
              </w:rPr>
              <w:t xml:space="preserve">     引脚</w:t>
            </w:r>
          </w:p>
          <w:p>
            <w:pPr>
              <w:ind w:firstLine="210" w:firstLineChars="100"/>
              <w:jc w:val="left"/>
              <w:rPr>
                <w:rFonts w:ascii="仿宋" w:hAnsi="仿宋" w:eastAsia="仿宋"/>
              </w:rPr>
            </w:pPr>
            <w:r>
              <w:rPr>
                <w:rFonts w:hint="eastAsia" w:ascii="仿宋" w:hAnsi="仿宋" w:eastAsia="仿宋"/>
              </w:rPr>
              <w:t>总线</w:t>
            </w:r>
          </w:p>
        </w:tc>
        <w:tc>
          <w:tcPr>
            <w:tcW w:w="1037" w:type="dxa"/>
            <w:vAlign w:val="center"/>
          </w:tcPr>
          <w:p>
            <w:pPr>
              <w:jc w:val="center"/>
              <w:rPr>
                <w:rFonts w:ascii="仿宋" w:hAnsi="仿宋" w:eastAsia="仿宋"/>
              </w:rPr>
            </w:pPr>
            <w:r>
              <w:rPr>
                <w:rFonts w:hint="eastAsia" w:ascii="仿宋" w:hAnsi="仿宋" w:eastAsia="仿宋"/>
              </w:rPr>
              <w:t>1</w:t>
            </w:r>
          </w:p>
        </w:tc>
        <w:tc>
          <w:tcPr>
            <w:tcW w:w="1037" w:type="dxa"/>
            <w:vAlign w:val="center"/>
          </w:tcPr>
          <w:p>
            <w:pPr>
              <w:jc w:val="center"/>
              <w:rPr>
                <w:rFonts w:ascii="仿宋" w:hAnsi="仿宋" w:eastAsia="仿宋"/>
              </w:rPr>
            </w:pPr>
            <w:r>
              <w:rPr>
                <w:rFonts w:hint="eastAsia" w:ascii="仿宋" w:hAnsi="仿宋" w:eastAsia="仿宋"/>
              </w:rPr>
              <w:t>2</w:t>
            </w:r>
          </w:p>
        </w:tc>
        <w:tc>
          <w:tcPr>
            <w:tcW w:w="1037" w:type="dxa"/>
            <w:vAlign w:val="center"/>
          </w:tcPr>
          <w:p>
            <w:pPr>
              <w:jc w:val="center"/>
              <w:rPr>
                <w:rFonts w:ascii="仿宋" w:hAnsi="仿宋" w:eastAsia="仿宋"/>
              </w:rPr>
            </w:pPr>
            <w:r>
              <w:rPr>
                <w:rFonts w:hint="eastAsia" w:ascii="仿宋" w:hAnsi="仿宋" w:eastAsia="仿宋"/>
              </w:rPr>
              <w:t>3</w:t>
            </w:r>
          </w:p>
        </w:tc>
        <w:tc>
          <w:tcPr>
            <w:tcW w:w="1037" w:type="dxa"/>
            <w:vAlign w:val="center"/>
          </w:tcPr>
          <w:p>
            <w:pPr>
              <w:jc w:val="center"/>
              <w:rPr>
                <w:rFonts w:ascii="仿宋" w:hAnsi="仿宋" w:eastAsia="仿宋"/>
              </w:rPr>
            </w:pPr>
            <w:r>
              <w:rPr>
                <w:rFonts w:hint="eastAsia" w:ascii="仿宋" w:hAnsi="仿宋" w:eastAsia="仿宋"/>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6" w:type="dxa"/>
            <w:vAlign w:val="center"/>
          </w:tcPr>
          <w:p>
            <w:pPr>
              <w:jc w:val="center"/>
              <w:rPr>
                <w:rFonts w:ascii="仿宋" w:hAnsi="仿宋" w:eastAsia="仿宋"/>
              </w:rPr>
            </w:pPr>
            <w:r>
              <w:rPr>
                <w:rFonts w:hint="eastAsia" w:ascii="仿宋" w:hAnsi="仿宋" w:eastAsia="仿宋"/>
              </w:rPr>
              <w:t>RS</w:t>
            </w:r>
            <w:r>
              <w:rPr>
                <w:rFonts w:ascii="仿宋" w:hAnsi="仿宋" w:eastAsia="仿宋"/>
              </w:rPr>
              <w:t>485</w:t>
            </w:r>
          </w:p>
        </w:tc>
        <w:tc>
          <w:tcPr>
            <w:tcW w:w="1037" w:type="dxa"/>
            <w:vAlign w:val="center"/>
          </w:tcPr>
          <w:p>
            <w:pPr>
              <w:jc w:val="center"/>
              <w:rPr>
                <w:rFonts w:ascii="仿宋" w:hAnsi="仿宋" w:eastAsia="仿宋"/>
              </w:rPr>
            </w:pPr>
            <w:r>
              <w:rPr>
                <w:rFonts w:hint="eastAsia" w:ascii="仿宋" w:hAnsi="仿宋" w:eastAsia="仿宋"/>
              </w:rPr>
              <w:t>NC</w:t>
            </w:r>
          </w:p>
        </w:tc>
        <w:tc>
          <w:tcPr>
            <w:tcW w:w="1037" w:type="dxa"/>
            <w:vAlign w:val="center"/>
          </w:tcPr>
          <w:p>
            <w:pPr>
              <w:jc w:val="center"/>
              <w:rPr>
                <w:rFonts w:ascii="仿宋" w:hAnsi="仿宋" w:eastAsia="仿宋"/>
              </w:rPr>
            </w:pPr>
            <w:r>
              <w:rPr>
                <w:rFonts w:hint="eastAsia" w:ascii="仿宋" w:hAnsi="仿宋" w:eastAsia="仿宋"/>
              </w:rPr>
              <w:t>B</w:t>
            </w:r>
          </w:p>
        </w:tc>
        <w:tc>
          <w:tcPr>
            <w:tcW w:w="1037" w:type="dxa"/>
            <w:vAlign w:val="center"/>
          </w:tcPr>
          <w:p>
            <w:pPr>
              <w:jc w:val="center"/>
              <w:rPr>
                <w:rFonts w:ascii="仿宋" w:hAnsi="仿宋" w:eastAsia="仿宋"/>
              </w:rPr>
            </w:pPr>
            <w:r>
              <w:rPr>
                <w:rFonts w:hint="eastAsia" w:ascii="仿宋" w:hAnsi="仿宋" w:eastAsia="仿宋"/>
              </w:rPr>
              <w:t>A</w:t>
            </w:r>
          </w:p>
        </w:tc>
        <w:tc>
          <w:tcPr>
            <w:tcW w:w="1037" w:type="dxa"/>
            <w:vAlign w:val="center"/>
          </w:tcPr>
          <w:p>
            <w:pPr>
              <w:jc w:val="center"/>
              <w:rPr>
                <w:rFonts w:ascii="仿宋" w:hAnsi="仿宋" w:eastAsia="仿宋"/>
              </w:rPr>
            </w:pPr>
            <w:r>
              <w:rPr>
                <w:rFonts w:hint="eastAsia" w:ascii="仿宋" w:hAnsi="仿宋" w:eastAsia="仿宋"/>
              </w:rPr>
              <w:t>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6" w:type="dxa"/>
            <w:vAlign w:val="center"/>
          </w:tcPr>
          <w:p>
            <w:pPr>
              <w:jc w:val="center"/>
              <w:rPr>
                <w:rFonts w:ascii="仿宋" w:hAnsi="仿宋" w:eastAsia="仿宋"/>
              </w:rPr>
            </w:pPr>
            <w:r>
              <w:rPr>
                <w:rFonts w:hint="eastAsia" w:ascii="仿宋" w:hAnsi="仿宋" w:eastAsia="仿宋"/>
              </w:rPr>
              <w:t>RS232</w:t>
            </w:r>
          </w:p>
        </w:tc>
        <w:tc>
          <w:tcPr>
            <w:tcW w:w="1037" w:type="dxa"/>
            <w:vAlign w:val="center"/>
          </w:tcPr>
          <w:p>
            <w:pPr>
              <w:jc w:val="center"/>
              <w:rPr>
                <w:rFonts w:ascii="仿宋" w:hAnsi="仿宋" w:eastAsia="仿宋"/>
              </w:rPr>
            </w:pPr>
            <w:r>
              <w:rPr>
                <w:rFonts w:hint="eastAsia" w:ascii="仿宋" w:hAnsi="仿宋" w:eastAsia="仿宋"/>
              </w:rPr>
              <w:t>NC</w:t>
            </w:r>
          </w:p>
        </w:tc>
        <w:tc>
          <w:tcPr>
            <w:tcW w:w="1037" w:type="dxa"/>
            <w:vAlign w:val="center"/>
          </w:tcPr>
          <w:p>
            <w:pPr>
              <w:jc w:val="center"/>
              <w:rPr>
                <w:rFonts w:ascii="仿宋" w:hAnsi="仿宋" w:eastAsia="仿宋"/>
              </w:rPr>
            </w:pPr>
            <w:r>
              <w:rPr>
                <w:rFonts w:hint="eastAsia" w:ascii="仿宋" w:hAnsi="仿宋" w:eastAsia="仿宋"/>
              </w:rPr>
              <w:t>TXD</w:t>
            </w:r>
          </w:p>
        </w:tc>
        <w:tc>
          <w:tcPr>
            <w:tcW w:w="1037" w:type="dxa"/>
            <w:vAlign w:val="center"/>
          </w:tcPr>
          <w:p>
            <w:pPr>
              <w:jc w:val="center"/>
              <w:rPr>
                <w:rFonts w:ascii="仿宋" w:hAnsi="仿宋" w:eastAsia="仿宋"/>
              </w:rPr>
            </w:pPr>
            <w:r>
              <w:rPr>
                <w:rFonts w:hint="eastAsia" w:ascii="仿宋" w:hAnsi="仿宋" w:eastAsia="仿宋"/>
              </w:rPr>
              <w:t>RXD</w:t>
            </w:r>
          </w:p>
        </w:tc>
        <w:tc>
          <w:tcPr>
            <w:tcW w:w="1037" w:type="dxa"/>
            <w:vAlign w:val="center"/>
          </w:tcPr>
          <w:p>
            <w:pPr>
              <w:jc w:val="center"/>
              <w:rPr>
                <w:rFonts w:ascii="仿宋" w:hAnsi="仿宋" w:eastAsia="仿宋"/>
              </w:rPr>
            </w:pPr>
            <w:r>
              <w:rPr>
                <w:rFonts w:hint="eastAsia" w:ascii="仿宋" w:hAnsi="仿宋" w:eastAsia="仿宋"/>
              </w:rPr>
              <w:t>GND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6" w:type="dxa"/>
            <w:vAlign w:val="center"/>
          </w:tcPr>
          <w:p>
            <w:pPr>
              <w:jc w:val="center"/>
              <w:rPr>
                <w:rFonts w:ascii="仿宋" w:hAnsi="仿宋" w:eastAsia="仿宋"/>
              </w:rPr>
            </w:pPr>
            <w:r>
              <w:rPr>
                <w:rFonts w:hint="eastAsia" w:ascii="仿宋" w:hAnsi="仿宋" w:eastAsia="仿宋"/>
              </w:rPr>
              <w:t>CAN</w:t>
            </w:r>
          </w:p>
        </w:tc>
        <w:tc>
          <w:tcPr>
            <w:tcW w:w="1037" w:type="dxa"/>
            <w:vAlign w:val="center"/>
          </w:tcPr>
          <w:p>
            <w:pPr>
              <w:jc w:val="center"/>
              <w:rPr>
                <w:rFonts w:ascii="仿宋" w:hAnsi="仿宋" w:eastAsia="仿宋"/>
              </w:rPr>
            </w:pPr>
            <w:r>
              <w:rPr>
                <w:rFonts w:hint="eastAsia" w:ascii="仿宋" w:hAnsi="仿宋" w:eastAsia="仿宋"/>
              </w:rPr>
              <w:t>NC</w:t>
            </w:r>
          </w:p>
        </w:tc>
        <w:tc>
          <w:tcPr>
            <w:tcW w:w="1037" w:type="dxa"/>
            <w:vAlign w:val="center"/>
          </w:tcPr>
          <w:p>
            <w:pPr>
              <w:jc w:val="center"/>
              <w:rPr>
                <w:rFonts w:ascii="仿宋" w:hAnsi="仿宋" w:eastAsia="仿宋"/>
              </w:rPr>
            </w:pPr>
            <w:r>
              <w:rPr>
                <w:rFonts w:hint="eastAsia" w:ascii="仿宋" w:hAnsi="仿宋" w:eastAsia="仿宋"/>
              </w:rPr>
              <w:t>CAN_H</w:t>
            </w:r>
          </w:p>
        </w:tc>
        <w:tc>
          <w:tcPr>
            <w:tcW w:w="1037" w:type="dxa"/>
            <w:vAlign w:val="center"/>
          </w:tcPr>
          <w:p>
            <w:pPr>
              <w:jc w:val="center"/>
              <w:rPr>
                <w:rFonts w:ascii="仿宋" w:hAnsi="仿宋" w:eastAsia="仿宋"/>
              </w:rPr>
            </w:pPr>
            <w:r>
              <w:rPr>
                <w:rFonts w:hint="eastAsia" w:ascii="仿宋" w:hAnsi="仿宋" w:eastAsia="仿宋"/>
              </w:rPr>
              <w:t>CAN_L</w:t>
            </w:r>
          </w:p>
        </w:tc>
        <w:tc>
          <w:tcPr>
            <w:tcW w:w="1037" w:type="dxa"/>
            <w:vAlign w:val="center"/>
          </w:tcPr>
          <w:p>
            <w:pPr>
              <w:jc w:val="center"/>
              <w:rPr>
                <w:rFonts w:ascii="仿宋" w:hAnsi="仿宋" w:eastAsia="仿宋"/>
              </w:rPr>
            </w:pPr>
            <w:r>
              <w:rPr>
                <w:rFonts w:hint="eastAsia" w:ascii="仿宋" w:hAnsi="仿宋" w:eastAsia="仿宋"/>
              </w:rPr>
              <w:t>NC</w:t>
            </w:r>
          </w:p>
        </w:tc>
      </w:tr>
    </w:tbl>
    <w:p>
      <w:pPr>
        <w:pStyle w:val="78"/>
        <w:spacing w:before="312" w:after="312"/>
      </w:pPr>
      <w:bookmarkStart w:id="1053" w:name="_Toc13658934"/>
      <w:bookmarkStart w:id="1054" w:name="_Toc13665131"/>
      <w:bookmarkStart w:id="1055" w:name="_Toc20895_WPSOffice_Level1"/>
      <w:bookmarkStart w:id="1056" w:name="_Toc26552_WPSOffice_Level1"/>
      <w:bookmarkStart w:id="1057" w:name="_Toc19505_WPSOffice_Level1"/>
      <w:bookmarkStart w:id="1058" w:name="_Toc2755_WPSOffice_Level1"/>
      <w:bookmarkStart w:id="1059" w:name="_Toc3310"/>
      <w:r>
        <w:t>其他</w:t>
      </w:r>
      <w:bookmarkEnd w:id="1053"/>
      <w:bookmarkEnd w:id="1054"/>
      <w:bookmarkEnd w:id="1055"/>
      <w:bookmarkEnd w:id="1056"/>
      <w:bookmarkEnd w:id="1057"/>
      <w:bookmarkEnd w:id="1058"/>
      <w:bookmarkEnd w:id="1059"/>
    </w:p>
    <w:p>
      <w:pPr>
        <w:ind w:firstLine="420"/>
        <w:rPr>
          <w:rFonts w:ascii="宋体"/>
          <w:kern w:val="0"/>
          <w:szCs w:val="20"/>
          <w:lang w:val="en-US" w:eastAsia="zh-CN"/>
        </w:rPr>
      </w:pPr>
      <w:r>
        <w:rPr>
          <w:rFonts w:ascii="仿宋" w:hAnsi="仿宋" w:eastAsia="仿宋"/>
        </w:rPr>
        <w:t>终</w:t>
      </w:r>
      <w:r>
        <w:rPr>
          <w:rFonts w:ascii="宋体"/>
          <w:kern w:val="0"/>
          <w:szCs w:val="20"/>
          <w:lang w:val="en-US" w:eastAsia="zh-CN"/>
        </w:rPr>
        <w:t>端用于通讯的接口宜以线束的形式留出</w:t>
      </w:r>
      <w:r>
        <w:rPr>
          <w:rFonts w:hint="eastAsia" w:ascii="宋体"/>
          <w:kern w:val="0"/>
          <w:szCs w:val="20"/>
          <w:lang w:val="en-US" w:eastAsia="zh-CN"/>
        </w:rPr>
        <w:t>，不推荐将接口集成在面板上，外设用于通讯的接口应以线束的形式留出。终端侧提供的接口应通过丝印或者线标说明该接口的通讯方式以及通讯口编号，外设侧的线束应通过线标说明设备类型和通讯方式。</w:t>
      </w:r>
    </w:p>
    <w:p>
      <w:pPr>
        <w:pStyle w:val="91"/>
        <w:rPr>
          <w:rFonts w:hint="eastAsia"/>
        </w:rPr>
      </w:pPr>
      <w:bookmarkStart w:id="1060" w:name="BKCKWX"/>
      <w:bookmarkStart w:id="1061" w:name="_Toc18138089"/>
      <w:bookmarkStart w:id="1062" w:name="_Toc18102124"/>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1060"/>
      <w:bookmarkEnd w:id="1061"/>
      <w:bookmarkEnd w:id="1062"/>
    </w:p>
    <w:p>
      <w:pPr>
        <w:pStyle w:val="27"/>
      </w:pPr>
      <w:r>
        <w:t xml:space="preserve">GB/T 15865-1995 </w:t>
      </w:r>
      <w:r>
        <w:rPr>
          <w:rFonts w:hint="eastAsia"/>
        </w:rPr>
        <w:t>摄像机（</w:t>
      </w:r>
      <w:r>
        <w:t>PAL/SECAM/NTSC</w:t>
      </w:r>
      <w:r>
        <w:rPr>
          <w:rFonts w:hint="eastAsia"/>
        </w:rPr>
        <w:t>）测量方法</w:t>
      </w:r>
    </w:p>
    <w:p>
      <w:pPr>
        <w:pStyle w:val="27"/>
      </w:pPr>
      <w:r>
        <w:t xml:space="preserve">GB/T 26773-2011 </w:t>
      </w:r>
      <w:r>
        <w:rPr>
          <w:rFonts w:hint="eastAsia"/>
        </w:rPr>
        <w:t>智能运输系统 车道偏离报警系统性能要求与监测方法</w:t>
      </w:r>
    </w:p>
    <w:p>
      <w:pPr>
        <w:pStyle w:val="27"/>
      </w:pPr>
      <w:r>
        <w:rPr>
          <w:rFonts w:hint="eastAsia"/>
        </w:rPr>
        <w:t>GB/T 26773-2011 智能运输系统 车道偏离报警系统性能要求与监测方法</w:t>
      </w:r>
    </w:p>
    <w:p>
      <w:pPr>
        <w:pStyle w:val="27"/>
      </w:pPr>
      <w:r>
        <w:rPr>
          <w:rFonts w:hint="eastAsia"/>
        </w:rPr>
        <w:t>GB/T 19951 道路车辆静电放电产生的电骚扰试验方法</w:t>
      </w:r>
    </w:p>
    <w:p>
      <w:pPr>
        <w:pStyle w:val="27"/>
      </w:pPr>
      <w:r>
        <w:t xml:space="preserve">JT/T 1078-2016 </w:t>
      </w:r>
      <w:r>
        <w:rPr>
          <w:rFonts w:hint="eastAsia"/>
        </w:rPr>
        <w:t>道路运输车辆卫星定位系统车载视频通信协议</w:t>
      </w:r>
    </w:p>
    <w:p>
      <w:pPr>
        <w:pStyle w:val="27"/>
      </w:pPr>
      <w:r>
        <w:t xml:space="preserve">JT/T 796-2011 </w:t>
      </w:r>
      <w:r>
        <w:rPr>
          <w:rFonts w:hint="eastAsia"/>
        </w:rPr>
        <w:t>道路运输车辆卫星定位系统平台技术要求</w:t>
      </w:r>
    </w:p>
    <w:p>
      <w:pPr>
        <w:pStyle w:val="27"/>
      </w:pPr>
      <w:r>
        <w:t xml:space="preserve">JT/T 808-2011 </w:t>
      </w:r>
      <w:r>
        <w:rPr>
          <w:rFonts w:hint="eastAsia"/>
        </w:rPr>
        <w:t>道路运输车辆卫星定位系统终端通讯协议及数据格式</w:t>
      </w:r>
    </w:p>
    <w:p>
      <w:pPr>
        <w:pStyle w:val="27"/>
      </w:pPr>
      <w:r>
        <w:t xml:space="preserve">JT/T 325-2013 </w:t>
      </w:r>
      <w:r>
        <w:rPr>
          <w:rFonts w:hint="eastAsia"/>
        </w:rPr>
        <w:t>营运客车类型划分及等级评定</w:t>
      </w:r>
    </w:p>
    <w:p>
      <w:pPr>
        <w:pStyle w:val="27"/>
      </w:pPr>
      <w:r>
        <w:t xml:space="preserve">EN 62471:2008 </w:t>
      </w:r>
      <w:r>
        <w:rPr>
          <w:rFonts w:hint="eastAsia"/>
        </w:rPr>
        <w:t xml:space="preserve"> </w:t>
      </w:r>
      <w:r>
        <w:rPr>
          <w:rFonts w:ascii="Arial" w:hAnsi="Arial" w:cs="Arial"/>
          <w:sz w:val="19"/>
          <w:szCs w:val="19"/>
          <w:shd w:val="clear" w:color="auto" w:fill="FFFFFF"/>
        </w:rPr>
        <w:t>光生物安</w:t>
      </w:r>
      <w:r>
        <w:rPr>
          <w:rFonts w:hint="eastAsia"/>
          <w:szCs w:val="22"/>
        </w:rPr>
        <w:t>全</w:t>
      </w:r>
      <w:r>
        <w:rPr>
          <w:szCs w:val="22"/>
        </w:rPr>
        <w:t>标准</w:t>
      </w:r>
      <w:r>
        <w:rPr>
          <w:rFonts w:hint="eastAsia"/>
        </w:rPr>
        <w:t>（</w:t>
      </w:r>
      <w:r>
        <w:t>Photobiological safety of lamps and lamp systems</w:t>
      </w:r>
      <w:r>
        <w:rPr>
          <w:rFonts w:hint="eastAsia"/>
        </w:rPr>
        <w:t>）</w:t>
      </w:r>
    </w:p>
    <w:p>
      <w:pPr>
        <w:pStyle w:val="117"/>
        <w:framePr/>
        <w:rPr>
          <w:rFonts w:hint="eastAsia"/>
        </w:rPr>
      </w:pPr>
      <w:r>
        <w:t>_________________________________</w:t>
      </w:r>
    </w:p>
    <w:sectPr>
      <w:headerReference r:id="rId5" w:type="default"/>
      <w:footerReference r:id="rId6"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ÂËÎ">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jc w:val="center"/>
    </w:pPr>
    <w:r>
      <w:fldChar w:fldCharType="begin"/>
    </w:r>
    <w:r>
      <w:instrText xml:space="preserve">PAGE   \* MERGEFORMAT</w:instrText>
    </w:r>
    <w:r>
      <w:fldChar w:fldCharType="separate"/>
    </w:r>
    <w:r>
      <w:rPr>
        <w:lang w:val="zh-CN" w:eastAsia="zh-CN"/>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2"/>
    </w:pPr>
    <w:r>
      <w:fldChar w:fldCharType="begin"/>
    </w:r>
    <w:r>
      <w:instrText xml:space="preserve"> PAGE  \* MERGEFORMAT </w:instrText>
    </w:r>
    <w:r>
      <w:fldChar w:fldCharType="separate"/>
    </w:r>
    <w:r>
      <w:rPr>
        <w:lang w:val="en-US" w:eastAsia="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t>T/ JLYSXH 1.2—2019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Pr>
    <w:r>
      <w:t>T/ JLYSXH 1.2—2019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930252"/>
    <w:multiLevelType w:val="multilevel"/>
    <w:tmpl w:val="83930252"/>
    <w:lvl w:ilvl="0" w:tentative="0">
      <w:start w:val="1"/>
      <w:numFmt w:val="decimal"/>
      <w:pStyle w:val="97"/>
      <w:suff w:val="nothing"/>
      <w:lvlText w:val="%1　"/>
      <w:lvlJc w:val="left"/>
      <w:pPr>
        <w:tabs>
          <w:tab w:val="left" w:pos="0"/>
        </w:tabs>
        <w:ind w:left="0" w:firstLine="0"/>
      </w:pPr>
      <w:rPr>
        <w:rFonts w:hint="default" w:ascii="黑体" w:hAnsi="Times New Roman" w:eastAsia="黑体"/>
        <w:b w:val="0"/>
        <w:i w:val="0"/>
        <w:color w:val="auto"/>
        <w:sz w:val="21"/>
        <w:szCs w:val="21"/>
      </w:rPr>
    </w:lvl>
    <w:lvl w:ilvl="1" w:tentative="0">
      <w:start w:val="1"/>
      <w:numFmt w:val="decimal"/>
      <w:pStyle w:val="64"/>
      <w:suff w:val="nothing"/>
      <w:lvlText w:val="%1.%2　"/>
      <w:lvlJc w:val="left"/>
      <w:pPr>
        <w:ind w:left="71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3"/>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82"/>
      <w:suff w:val="nothing"/>
      <w:lvlText w:val="%1.%2.%3.%4.%5　"/>
      <w:lvlJc w:val="left"/>
      <w:pPr>
        <w:ind w:left="2126" w:firstLine="0"/>
      </w:pPr>
      <w:rPr>
        <w:rFonts w:hint="eastAsia" w:ascii="黑体" w:hAnsi="Times New Roman" w:eastAsia="黑体"/>
        <w:b w:val="0"/>
        <w:i w:val="0"/>
        <w:sz w:val="21"/>
      </w:rPr>
    </w:lvl>
    <w:lvl w:ilvl="5" w:tentative="0">
      <w:start w:val="1"/>
      <w:numFmt w:val="decimal"/>
      <w:pStyle w:val="13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860AD8E7"/>
    <w:multiLevelType w:val="multilevel"/>
    <w:tmpl w:val="860AD8E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8755137D"/>
    <w:multiLevelType w:val="multilevel"/>
    <w:tmpl w:val="8755137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8A2C2AB5"/>
    <w:multiLevelType w:val="multilevel"/>
    <w:tmpl w:val="8A2C2AB5"/>
    <w:lvl w:ilvl="0" w:tentative="0">
      <w:start w:val="1"/>
      <w:numFmt w:val="lowerLetter"/>
      <w:pStyle w:val="145"/>
      <w:lvlText w:val="%1)"/>
      <w:lvlJc w:val="left"/>
      <w:pPr>
        <w:tabs>
          <w:tab w:val="left" w:pos="1413"/>
        </w:tabs>
        <w:ind w:left="1412"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8BCC345B"/>
    <w:multiLevelType w:val="multilevel"/>
    <w:tmpl w:val="8BCC345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9FE69449"/>
    <w:multiLevelType w:val="multilevel"/>
    <w:tmpl w:val="9FE69449"/>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A71C2F3E"/>
    <w:multiLevelType w:val="multilevel"/>
    <w:tmpl w:val="A71C2F3E"/>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A931CFB0"/>
    <w:multiLevelType w:val="multilevel"/>
    <w:tmpl w:val="A931CFB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ACCF296D"/>
    <w:multiLevelType w:val="multilevel"/>
    <w:tmpl w:val="ACCF296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ACD9ED60"/>
    <w:multiLevelType w:val="multilevel"/>
    <w:tmpl w:val="ACD9ED6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B005160F"/>
    <w:multiLevelType w:val="multilevel"/>
    <w:tmpl w:val="B005160F"/>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B1E1F1E2"/>
    <w:multiLevelType w:val="multilevel"/>
    <w:tmpl w:val="B1E1F1E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B4A16FC8"/>
    <w:multiLevelType w:val="multilevel"/>
    <w:tmpl w:val="B4A16FC8"/>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B9310C00"/>
    <w:multiLevelType w:val="multilevel"/>
    <w:tmpl w:val="B9310C0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C16D0C02"/>
    <w:multiLevelType w:val="multilevel"/>
    <w:tmpl w:val="C16D0C0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CFF2AE7B"/>
    <w:multiLevelType w:val="multilevel"/>
    <w:tmpl w:val="CFF2AE7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D263C3F2"/>
    <w:multiLevelType w:val="multilevel"/>
    <w:tmpl w:val="D263C3F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D8A72325"/>
    <w:multiLevelType w:val="multilevel"/>
    <w:tmpl w:val="D8A7232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E762AF8B"/>
    <w:multiLevelType w:val="singleLevel"/>
    <w:tmpl w:val="E762AF8B"/>
    <w:lvl w:ilvl="0" w:tentative="0">
      <w:start w:val="1"/>
      <w:numFmt w:val="decimal"/>
      <w:suff w:val="nothing"/>
      <w:lvlText w:val="%1）"/>
      <w:lvlJc w:val="left"/>
      <w:pPr>
        <w:ind w:left="840" w:firstLine="0"/>
      </w:pPr>
    </w:lvl>
  </w:abstractNum>
  <w:abstractNum w:abstractNumId="19">
    <w:nsid w:val="E8CE6DEF"/>
    <w:multiLevelType w:val="multilevel"/>
    <w:tmpl w:val="E8CE6DEF"/>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FA99979E"/>
    <w:multiLevelType w:val="multilevel"/>
    <w:tmpl w:val="FA99979E"/>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FDC5D069"/>
    <w:multiLevelType w:val="multilevel"/>
    <w:tmpl w:val="FDC5D069"/>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079102AD"/>
    <w:multiLevelType w:val="multilevel"/>
    <w:tmpl w:val="079102AD"/>
    <w:lvl w:ilvl="0" w:tentative="0">
      <w:start w:val="1"/>
      <w:numFmt w:val="decimal"/>
      <w:pStyle w:val="15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3">
    <w:nsid w:val="083DCD76"/>
    <w:multiLevelType w:val="multilevel"/>
    <w:tmpl w:val="083DCD76"/>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4">
    <w:nsid w:val="093C6778"/>
    <w:multiLevelType w:val="multilevel"/>
    <w:tmpl w:val="093C6778"/>
    <w:lvl w:ilvl="0" w:tentative="0">
      <w:start w:val="1"/>
      <w:numFmt w:val="decimal"/>
      <w:pStyle w:val="4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5">
    <w:nsid w:val="0AE367E9"/>
    <w:multiLevelType w:val="multilevel"/>
    <w:tmpl w:val="0AE367E9"/>
    <w:lvl w:ilvl="0" w:tentative="0">
      <w:start w:val="1"/>
      <w:numFmt w:val="none"/>
      <w:pStyle w:val="10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6">
    <w:nsid w:val="0D983844"/>
    <w:multiLevelType w:val="multilevel"/>
    <w:tmpl w:val="0D983844"/>
    <w:lvl w:ilvl="0" w:tentative="0">
      <w:start w:val="1"/>
      <w:numFmt w:val="decimal"/>
      <w:pStyle w:val="6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7">
    <w:nsid w:val="0DDE2B46"/>
    <w:multiLevelType w:val="multilevel"/>
    <w:tmpl w:val="0DDE2B46"/>
    <w:lvl w:ilvl="0" w:tentative="0">
      <w:start w:val="1"/>
      <w:numFmt w:val="lowerLetter"/>
      <w:pStyle w:val="11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28">
    <w:nsid w:val="116BF674"/>
    <w:multiLevelType w:val="multilevel"/>
    <w:tmpl w:val="116BF67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9">
    <w:nsid w:val="1329E312"/>
    <w:multiLevelType w:val="multilevel"/>
    <w:tmpl w:val="1329E31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0">
    <w:nsid w:val="1936543D"/>
    <w:multiLevelType w:val="multilevel"/>
    <w:tmpl w:val="1936543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1">
    <w:nsid w:val="1DBF583A"/>
    <w:multiLevelType w:val="multilevel"/>
    <w:tmpl w:val="1DBF583A"/>
    <w:lvl w:ilvl="0" w:tentative="0">
      <w:start w:val="1"/>
      <w:numFmt w:val="decimal"/>
      <w:pStyle w:val="10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32">
    <w:nsid w:val="1F774CA6"/>
    <w:multiLevelType w:val="multilevel"/>
    <w:tmpl w:val="1F774CA6"/>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color w:val="FF0000"/>
        <w:sz w:val="21"/>
        <w:szCs w:val="21"/>
      </w:rPr>
    </w:lvl>
    <w:lvl w:ilvl="1" w:tentative="0">
      <w:start w:val="1"/>
      <w:numFmt w:val="decimal"/>
      <w:suff w:val="nothing"/>
      <w:lvlText w:val="%1.%2　"/>
      <w:lvlJc w:val="left"/>
      <w:pPr>
        <w:ind w:left="71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2126" w:firstLine="0"/>
      </w:pPr>
      <w:rPr>
        <w:rFonts w:hint="eastAsia" w:ascii="黑体" w:hAnsi="Times New Roman" w:eastAsia="黑体"/>
        <w:b w:val="0"/>
        <w:i w:val="0"/>
        <w:sz w:val="21"/>
      </w:rPr>
    </w:lvl>
    <w:lvl w:ilvl="5" w:tentative="0">
      <w:start w:val="1"/>
      <w:numFmt w:val="decimal"/>
      <w:pStyle w:val="13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4">
    <w:nsid w:val="22827D5B"/>
    <w:multiLevelType w:val="multilevel"/>
    <w:tmpl w:val="22827D5B"/>
    <w:lvl w:ilvl="0" w:tentative="0">
      <w:start w:val="1"/>
      <w:numFmt w:val="none"/>
      <w:pStyle w:val="13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5">
    <w:nsid w:val="2297A3B0"/>
    <w:multiLevelType w:val="multilevel"/>
    <w:tmpl w:val="2297A3B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6">
    <w:nsid w:val="24C9EEA9"/>
    <w:multiLevelType w:val="multilevel"/>
    <w:tmpl w:val="24C9EEA9"/>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7">
    <w:nsid w:val="2A8F7113"/>
    <w:multiLevelType w:val="multilevel"/>
    <w:tmpl w:val="2A8F7113"/>
    <w:lvl w:ilvl="0" w:tentative="0">
      <w:start w:val="1"/>
      <w:numFmt w:val="upperLetter"/>
      <w:pStyle w:val="110"/>
      <w:suff w:val="space"/>
      <w:lvlText w:val="%1"/>
      <w:lvlJc w:val="left"/>
      <w:pPr>
        <w:ind w:left="623" w:hanging="425"/>
      </w:pPr>
      <w:rPr>
        <w:rFonts w:hint="eastAsia"/>
      </w:rPr>
    </w:lvl>
    <w:lvl w:ilvl="1" w:tentative="0">
      <w:start w:val="1"/>
      <w:numFmt w:val="decimal"/>
      <w:pStyle w:val="9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8">
    <w:nsid w:val="2AA1EB0F"/>
    <w:multiLevelType w:val="multilevel"/>
    <w:tmpl w:val="2AA1EB0F"/>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9">
    <w:nsid w:val="2B8C1186"/>
    <w:multiLevelType w:val="multilevel"/>
    <w:tmpl w:val="2B8C1186"/>
    <w:lvl w:ilvl="0" w:tentative="0">
      <w:start w:val="1"/>
      <w:numFmt w:val="decimal"/>
      <w:lvlText w:val="%1."/>
      <w:lvlJc w:val="left"/>
      <w:pPr>
        <w:ind w:left="432" w:hanging="432"/>
      </w:pPr>
      <w:rPr>
        <w:rFonts w:hint="default"/>
        <w:sz w:val="44"/>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8"/>
      <w:lvlText w:val="%1.%2.%3.%4."/>
      <w:lvlJc w:val="left"/>
      <w:pPr>
        <w:ind w:left="864" w:hanging="864"/>
      </w:pPr>
      <w:rPr>
        <w:rFonts w:hint="default" w:ascii="Times New Roman" w:hAnsi="Times New Roman" w:cs="Times New Roman"/>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0">
    <w:nsid w:val="2C5917C3"/>
    <w:multiLevelType w:val="multilevel"/>
    <w:tmpl w:val="2C5917C3"/>
    <w:lvl w:ilvl="0" w:tentative="0">
      <w:start w:val="1"/>
      <w:numFmt w:val="none"/>
      <w:pStyle w:val="149"/>
      <w:suff w:val="nothing"/>
      <w:lvlText w:val="%1——"/>
      <w:lvlJc w:val="left"/>
      <w:pPr>
        <w:ind w:left="833" w:hanging="408"/>
      </w:pPr>
      <w:rPr>
        <w:rFonts w:hint="eastAsia"/>
      </w:rPr>
    </w:lvl>
    <w:lvl w:ilvl="1" w:tentative="0">
      <w:start w:val="1"/>
      <w:numFmt w:val="bullet"/>
      <w:pStyle w:val="130"/>
      <w:lvlText w:val=""/>
      <w:lvlJc w:val="left"/>
      <w:pPr>
        <w:tabs>
          <w:tab w:val="left" w:pos="760"/>
        </w:tabs>
        <w:ind w:left="1264" w:hanging="413"/>
      </w:pPr>
      <w:rPr>
        <w:rFonts w:hint="default" w:ascii="Symbol" w:hAnsi="Symbol"/>
        <w:color w:val="auto"/>
      </w:rPr>
    </w:lvl>
    <w:lvl w:ilvl="2" w:tentative="0">
      <w:start w:val="1"/>
      <w:numFmt w:val="bullet"/>
      <w:pStyle w:val="8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1">
    <w:nsid w:val="2ED69C68"/>
    <w:multiLevelType w:val="multilevel"/>
    <w:tmpl w:val="2ED69C68"/>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2">
    <w:nsid w:val="33F5A955"/>
    <w:multiLevelType w:val="multilevel"/>
    <w:tmpl w:val="33F5A95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3">
    <w:nsid w:val="3D12EC03"/>
    <w:multiLevelType w:val="multilevel"/>
    <w:tmpl w:val="3D12EC0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4">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45">
    <w:nsid w:val="40A83717"/>
    <w:multiLevelType w:val="multilevel"/>
    <w:tmpl w:val="40A8371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6">
    <w:nsid w:val="4B733A5F"/>
    <w:multiLevelType w:val="multilevel"/>
    <w:tmpl w:val="4B733A5F"/>
    <w:lvl w:ilvl="0" w:tentative="0">
      <w:start w:val="1"/>
      <w:numFmt w:val="decimal"/>
      <w:pStyle w:val="9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47">
    <w:nsid w:val="4D516CCE"/>
    <w:multiLevelType w:val="multilevel"/>
    <w:tmpl w:val="4D516CCE"/>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3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8">
    <w:nsid w:val="55945BE5"/>
    <w:multiLevelType w:val="multilevel"/>
    <w:tmpl w:val="55945BE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9">
    <w:nsid w:val="5AD3A936"/>
    <w:multiLevelType w:val="multilevel"/>
    <w:tmpl w:val="5AD3A936"/>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0">
    <w:nsid w:val="5F214D7E"/>
    <w:multiLevelType w:val="multilevel"/>
    <w:tmpl w:val="5F214D7E"/>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1">
    <w:nsid w:val="60B55DC2"/>
    <w:multiLevelType w:val="multilevel"/>
    <w:tmpl w:val="60B55DC2"/>
    <w:lvl w:ilvl="0" w:tentative="0">
      <w:start w:val="1"/>
      <w:numFmt w:val="upperLetter"/>
      <w:pStyle w:val="154"/>
      <w:lvlText w:val="%1"/>
      <w:lvlJc w:val="left"/>
      <w:pPr>
        <w:tabs>
          <w:tab w:val="left" w:pos="0"/>
        </w:tabs>
        <w:ind w:left="0" w:hanging="425"/>
      </w:pPr>
      <w:rPr>
        <w:rFonts w:hint="eastAsia"/>
      </w:rPr>
    </w:lvl>
    <w:lvl w:ilvl="1" w:tentative="0">
      <w:start w:val="1"/>
      <w:numFmt w:val="decimal"/>
      <w:pStyle w:val="13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52">
    <w:nsid w:val="616DB239"/>
    <w:multiLevelType w:val="multilevel"/>
    <w:tmpl w:val="616DB239"/>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3">
    <w:nsid w:val="646260FA"/>
    <w:multiLevelType w:val="multilevel"/>
    <w:tmpl w:val="646260FA"/>
    <w:lvl w:ilvl="0" w:tentative="0">
      <w:start w:val="1"/>
      <w:numFmt w:val="decimal"/>
      <w:pStyle w:val="10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7"/>
      <w:suff w:val="nothing"/>
      <w:lvlText w:val="%1.%2.%3　"/>
      <w:lvlJc w:val="left"/>
      <w:pPr>
        <w:ind w:left="0" w:firstLine="0"/>
      </w:pPr>
      <w:rPr>
        <w:rFonts w:hint="eastAsia" w:ascii="黑体" w:hAnsi="Times New Roman" w:eastAsia="黑体"/>
        <w:b w:val="0"/>
        <w:i w:val="0"/>
        <w:sz w:val="21"/>
      </w:rPr>
    </w:lvl>
    <w:lvl w:ilvl="3" w:tentative="0">
      <w:start w:val="1"/>
      <w:numFmt w:val="decimal"/>
      <w:pStyle w:val="76"/>
      <w:suff w:val="nothing"/>
      <w:lvlText w:val="%1.%2.%3.%4　"/>
      <w:lvlJc w:val="left"/>
      <w:pPr>
        <w:ind w:left="0" w:firstLine="0"/>
      </w:pPr>
      <w:rPr>
        <w:rFonts w:hint="eastAsia" w:ascii="黑体" w:hAnsi="Times New Roman" w:eastAsia="黑体"/>
        <w:b w:val="0"/>
        <w:i w:val="0"/>
        <w:sz w:val="21"/>
      </w:rPr>
    </w:lvl>
    <w:lvl w:ilvl="4" w:tentative="0">
      <w:start w:val="1"/>
      <w:numFmt w:val="decimal"/>
      <w:pStyle w:val="75"/>
      <w:suff w:val="nothing"/>
      <w:lvlText w:val="%1.%2.%3.%4.%5　"/>
      <w:lvlJc w:val="left"/>
      <w:pPr>
        <w:ind w:left="0" w:firstLine="0"/>
      </w:pPr>
      <w:rPr>
        <w:rFonts w:hint="eastAsia" w:ascii="黑体" w:hAnsi="Times New Roman" w:eastAsia="黑体"/>
        <w:b w:val="0"/>
        <w:i w:val="0"/>
        <w:sz w:val="21"/>
      </w:rPr>
    </w:lvl>
    <w:lvl w:ilvl="5" w:tentative="0">
      <w:start w:val="1"/>
      <w:numFmt w:val="decimal"/>
      <w:pStyle w:val="85"/>
      <w:suff w:val="nothing"/>
      <w:lvlText w:val="%1.%2.%3.%4.%5.%6　"/>
      <w:lvlJc w:val="left"/>
      <w:pPr>
        <w:ind w:left="0" w:firstLine="0"/>
      </w:pPr>
      <w:rPr>
        <w:rFonts w:hint="eastAsia" w:ascii="黑体" w:hAnsi="Times New Roman" w:eastAsia="黑体"/>
        <w:b w:val="0"/>
        <w:i w:val="0"/>
        <w:sz w:val="21"/>
      </w:rPr>
    </w:lvl>
    <w:lvl w:ilvl="6" w:tentative="0">
      <w:start w:val="1"/>
      <w:numFmt w:val="decimal"/>
      <w:pStyle w:val="12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5">
    <w:nsid w:val="6AE6541B"/>
    <w:multiLevelType w:val="multilevel"/>
    <w:tmpl w:val="6AE6541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6">
    <w:nsid w:val="6D6C07CD"/>
    <w:multiLevelType w:val="multilevel"/>
    <w:tmpl w:val="6D6C07CD"/>
    <w:lvl w:ilvl="0" w:tentative="0">
      <w:start w:val="1"/>
      <w:numFmt w:val="lowerLetter"/>
      <w:pStyle w:val="116"/>
      <w:lvlText w:val="%1)"/>
      <w:lvlJc w:val="left"/>
      <w:pPr>
        <w:tabs>
          <w:tab w:val="left" w:pos="839"/>
        </w:tabs>
        <w:ind w:left="839" w:hanging="419"/>
      </w:pPr>
      <w:rPr>
        <w:rFonts w:hint="eastAsia" w:ascii="宋体" w:eastAsia="宋体"/>
        <w:b w:val="0"/>
        <w:i w:val="0"/>
        <w:sz w:val="21"/>
      </w:rPr>
    </w:lvl>
    <w:lvl w:ilvl="1" w:tentative="0">
      <w:start w:val="1"/>
      <w:numFmt w:val="decimal"/>
      <w:pStyle w:val="9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57">
    <w:nsid w:val="6DBF04F4"/>
    <w:multiLevelType w:val="multilevel"/>
    <w:tmpl w:val="6DBF04F4"/>
    <w:lvl w:ilvl="0" w:tentative="0">
      <w:start w:val="1"/>
      <w:numFmt w:val="none"/>
      <w:pStyle w:val="8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8">
    <w:nsid w:val="6DE81066"/>
    <w:multiLevelType w:val="multilevel"/>
    <w:tmpl w:val="6DE81066"/>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9">
    <w:nsid w:val="6E32BD1F"/>
    <w:multiLevelType w:val="multilevel"/>
    <w:tmpl w:val="6E32BD1F"/>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0">
    <w:nsid w:val="761B38A6"/>
    <w:multiLevelType w:val="multilevel"/>
    <w:tmpl w:val="761B38A6"/>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1">
    <w:nsid w:val="79A74515"/>
    <w:multiLevelType w:val="multilevel"/>
    <w:tmpl w:val="79A7451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44"/>
  </w:num>
  <w:num w:numId="2">
    <w:abstractNumId w:val="24"/>
  </w:num>
  <w:num w:numId="3">
    <w:abstractNumId w:val="39"/>
  </w:num>
  <w:num w:numId="4">
    <w:abstractNumId w:val="26"/>
  </w:num>
  <w:num w:numId="5">
    <w:abstractNumId w:val="0"/>
  </w:num>
  <w:num w:numId="6">
    <w:abstractNumId w:val="54"/>
  </w:num>
  <w:num w:numId="7">
    <w:abstractNumId w:val="57"/>
  </w:num>
  <w:num w:numId="8">
    <w:abstractNumId w:val="40"/>
  </w:num>
  <w:num w:numId="9">
    <w:abstractNumId w:val="37"/>
  </w:num>
  <w:num w:numId="10">
    <w:abstractNumId w:val="56"/>
  </w:num>
  <w:num w:numId="11">
    <w:abstractNumId w:val="46"/>
  </w:num>
  <w:num w:numId="12">
    <w:abstractNumId w:val="25"/>
  </w:num>
  <w:num w:numId="13">
    <w:abstractNumId w:val="31"/>
  </w:num>
  <w:num w:numId="14">
    <w:abstractNumId w:val="53"/>
  </w:num>
  <w:num w:numId="15">
    <w:abstractNumId w:val="27"/>
  </w:num>
  <w:num w:numId="16">
    <w:abstractNumId w:val="33"/>
  </w:num>
  <w:num w:numId="17">
    <w:abstractNumId w:val="34"/>
  </w:num>
  <w:num w:numId="18">
    <w:abstractNumId w:val="47"/>
  </w:num>
  <w:num w:numId="19">
    <w:abstractNumId w:val="51"/>
  </w:num>
  <w:num w:numId="20">
    <w:abstractNumId w:val="3"/>
  </w:num>
  <w:num w:numId="21">
    <w:abstractNumId w:val="22"/>
  </w:num>
  <w:num w:numId="22">
    <w:abstractNumId w:val="60"/>
  </w:num>
  <w:num w:numId="23">
    <w:abstractNumId w:val="50"/>
  </w:num>
  <w:num w:numId="24">
    <w:abstractNumId w:val="61"/>
  </w:num>
  <w:num w:numId="25">
    <w:abstractNumId w:val="35"/>
  </w:num>
  <w:num w:numId="26">
    <w:abstractNumId w:val="20"/>
  </w:num>
  <w:num w:numId="27">
    <w:abstractNumId w:val="23"/>
  </w:num>
  <w:num w:numId="28">
    <w:abstractNumId w:val="41"/>
  </w:num>
  <w:num w:numId="29">
    <w:abstractNumId w:val="1"/>
  </w:num>
  <w:num w:numId="30">
    <w:abstractNumId w:val="8"/>
  </w:num>
  <w:num w:numId="31">
    <w:abstractNumId w:val="43"/>
  </w:num>
  <w:num w:numId="32">
    <w:abstractNumId w:val="45"/>
  </w:num>
  <w:num w:numId="33">
    <w:abstractNumId w:val="9"/>
  </w:num>
  <w:num w:numId="34">
    <w:abstractNumId w:val="58"/>
  </w:num>
  <w:num w:numId="35">
    <w:abstractNumId w:val="5"/>
  </w:num>
  <w:num w:numId="36">
    <w:abstractNumId w:val="14"/>
  </w:num>
  <w:num w:numId="37">
    <w:abstractNumId w:val="42"/>
  </w:num>
  <w:num w:numId="38">
    <w:abstractNumId w:val="2"/>
  </w:num>
  <w:num w:numId="39">
    <w:abstractNumId w:val="4"/>
  </w:num>
  <w:num w:numId="40">
    <w:abstractNumId w:val="10"/>
  </w:num>
  <w:num w:numId="41">
    <w:abstractNumId w:val="15"/>
  </w:num>
  <w:num w:numId="42">
    <w:abstractNumId w:val="18"/>
  </w:num>
  <w:num w:numId="43">
    <w:abstractNumId w:val="30"/>
  </w:num>
  <w:num w:numId="44">
    <w:abstractNumId w:val="32"/>
  </w:num>
  <w:num w:numId="45">
    <w:abstractNumId w:val="6"/>
  </w:num>
  <w:num w:numId="46">
    <w:abstractNumId w:val="38"/>
  </w:num>
  <w:num w:numId="47">
    <w:abstractNumId w:val="17"/>
  </w:num>
  <w:num w:numId="48">
    <w:abstractNumId w:val="19"/>
  </w:num>
  <w:num w:numId="49">
    <w:abstractNumId w:val="13"/>
  </w:num>
  <w:num w:numId="50">
    <w:abstractNumId w:val="21"/>
  </w:num>
  <w:num w:numId="51">
    <w:abstractNumId w:val="49"/>
  </w:num>
  <w:num w:numId="52">
    <w:abstractNumId w:val="52"/>
  </w:num>
  <w:num w:numId="53">
    <w:abstractNumId w:val="7"/>
  </w:num>
  <w:num w:numId="54">
    <w:abstractNumId w:val="36"/>
  </w:num>
  <w:num w:numId="55">
    <w:abstractNumId w:val="28"/>
  </w:num>
  <w:num w:numId="56">
    <w:abstractNumId w:val="11"/>
  </w:num>
  <w:num w:numId="57">
    <w:abstractNumId w:val="55"/>
  </w:num>
  <w:num w:numId="58">
    <w:abstractNumId w:val="48"/>
  </w:num>
  <w:num w:numId="59">
    <w:abstractNumId w:val="16"/>
  </w:num>
  <w:num w:numId="60">
    <w:abstractNumId w:val="12"/>
  </w:num>
  <w:num w:numId="61">
    <w:abstractNumId w:val="59"/>
  </w:num>
  <w:num w:numId="6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dit="forms" w:enforcement="1" w:cryptProviderType="rsaFull" w:cryptAlgorithmClass="hash" w:cryptAlgorithmType="typeAny" w:cryptAlgorithmSid="4" w:cryptSpinCount="100000" w:hash="F65vbnbT72YBf4V4Q2IcZGhKE5o=" w:salt="56v6nwK4tVzkkibCxB+bRA=="/>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925"/>
    <w:rsid w:val="00000244"/>
    <w:rsid w:val="0000185F"/>
    <w:rsid w:val="000047E8"/>
    <w:rsid w:val="0000586F"/>
    <w:rsid w:val="00013D86"/>
    <w:rsid w:val="00013E02"/>
    <w:rsid w:val="000200ED"/>
    <w:rsid w:val="0002143C"/>
    <w:rsid w:val="00025A65"/>
    <w:rsid w:val="00026C31"/>
    <w:rsid w:val="00027280"/>
    <w:rsid w:val="000320A7"/>
    <w:rsid w:val="00035925"/>
    <w:rsid w:val="00067CDF"/>
    <w:rsid w:val="00074FBE"/>
    <w:rsid w:val="00083A09"/>
    <w:rsid w:val="0009005E"/>
    <w:rsid w:val="00092857"/>
    <w:rsid w:val="000A20A9"/>
    <w:rsid w:val="000A48B1"/>
    <w:rsid w:val="000B3143"/>
    <w:rsid w:val="000C6B05"/>
    <w:rsid w:val="000C6DD6"/>
    <w:rsid w:val="000C73D4"/>
    <w:rsid w:val="000D2CF3"/>
    <w:rsid w:val="000D3D4C"/>
    <w:rsid w:val="000D4F51"/>
    <w:rsid w:val="000D718B"/>
    <w:rsid w:val="000E0C46"/>
    <w:rsid w:val="000F030C"/>
    <w:rsid w:val="000F129C"/>
    <w:rsid w:val="001056DE"/>
    <w:rsid w:val="001124C0"/>
    <w:rsid w:val="00121923"/>
    <w:rsid w:val="0013175F"/>
    <w:rsid w:val="001512B4"/>
    <w:rsid w:val="0016102E"/>
    <w:rsid w:val="001620A5"/>
    <w:rsid w:val="00164E53"/>
    <w:rsid w:val="0016699D"/>
    <w:rsid w:val="00166B90"/>
    <w:rsid w:val="00175159"/>
    <w:rsid w:val="00176208"/>
    <w:rsid w:val="0018211B"/>
    <w:rsid w:val="001840D3"/>
    <w:rsid w:val="001900F8"/>
    <w:rsid w:val="00191258"/>
    <w:rsid w:val="00192680"/>
    <w:rsid w:val="00193037"/>
    <w:rsid w:val="00193A2C"/>
    <w:rsid w:val="001A288E"/>
    <w:rsid w:val="001B4B27"/>
    <w:rsid w:val="001B6DC2"/>
    <w:rsid w:val="001C149C"/>
    <w:rsid w:val="001C21AC"/>
    <w:rsid w:val="001C2E16"/>
    <w:rsid w:val="001C47BA"/>
    <w:rsid w:val="001C59EA"/>
    <w:rsid w:val="001D406C"/>
    <w:rsid w:val="001D41EE"/>
    <w:rsid w:val="001E0380"/>
    <w:rsid w:val="001E13B1"/>
    <w:rsid w:val="001E241E"/>
    <w:rsid w:val="001F3A19"/>
    <w:rsid w:val="00234467"/>
    <w:rsid w:val="00237D8D"/>
    <w:rsid w:val="00241DA2"/>
    <w:rsid w:val="00247FEE"/>
    <w:rsid w:val="00250E7D"/>
    <w:rsid w:val="002565D5"/>
    <w:rsid w:val="002622C0"/>
    <w:rsid w:val="002778AE"/>
    <w:rsid w:val="0028269A"/>
    <w:rsid w:val="00282D80"/>
    <w:rsid w:val="002830E3"/>
    <w:rsid w:val="00283590"/>
    <w:rsid w:val="00285ED7"/>
    <w:rsid w:val="00286973"/>
    <w:rsid w:val="00294E70"/>
    <w:rsid w:val="002A1924"/>
    <w:rsid w:val="002A7420"/>
    <w:rsid w:val="002B0F12"/>
    <w:rsid w:val="002B1308"/>
    <w:rsid w:val="002B4554"/>
    <w:rsid w:val="002C6C92"/>
    <w:rsid w:val="002C72D8"/>
    <w:rsid w:val="002D11FA"/>
    <w:rsid w:val="002E0DDF"/>
    <w:rsid w:val="002E2906"/>
    <w:rsid w:val="002E363B"/>
    <w:rsid w:val="002E5635"/>
    <w:rsid w:val="002E64C3"/>
    <w:rsid w:val="002E6A2C"/>
    <w:rsid w:val="002F1D8C"/>
    <w:rsid w:val="002F21DA"/>
    <w:rsid w:val="00300943"/>
    <w:rsid w:val="00301035"/>
    <w:rsid w:val="00301F39"/>
    <w:rsid w:val="00303F3A"/>
    <w:rsid w:val="00311309"/>
    <w:rsid w:val="00325926"/>
    <w:rsid w:val="00327A8A"/>
    <w:rsid w:val="00336610"/>
    <w:rsid w:val="00343F73"/>
    <w:rsid w:val="00345060"/>
    <w:rsid w:val="0035323B"/>
    <w:rsid w:val="003609D2"/>
    <w:rsid w:val="00363F22"/>
    <w:rsid w:val="00375564"/>
    <w:rsid w:val="00383191"/>
    <w:rsid w:val="00386DED"/>
    <w:rsid w:val="003912E7"/>
    <w:rsid w:val="00393947"/>
    <w:rsid w:val="0039538D"/>
    <w:rsid w:val="003A2275"/>
    <w:rsid w:val="003A6A4F"/>
    <w:rsid w:val="003A7088"/>
    <w:rsid w:val="003B00DF"/>
    <w:rsid w:val="003B1275"/>
    <w:rsid w:val="003B1778"/>
    <w:rsid w:val="003C11CB"/>
    <w:rsid w:val="003C3BE8"/>
    <w:rsid w:val="003C75F3"/>
    <w:rsid w:val="003C78A3"/>
    <w:rsid w:val="003D1C6F"/>
    <w:rsid w:val="003E0FC5"/>
    <w:rsid w:val="003E1867"/>
    <w:rsid w:val="003E3A5B"/>
    <w:rsid w:val="003E5729"/>
    <w:rsid w:val="003F3748"/>
    <w:rsid w:val="003F4EE0"/>
    <w:rsid w:val="00402153"/>
    <w:rsid w:val="00402FC1"/>
    <w:rsid w:val="00404C50"/>
    <w:rsid w:val="004205D4"/>
    <w:rsid w:val="00425082"/>
    <w:rsid w:val="00431DEB"/>
    <w:rsid w:val="00446B29"/>
    <w:rsid w:val="0045099D"/>
    <w:rsid w:val="00453F9A"/>
    <w:rsid w:val="0046332C"/>
    <w:rsid w:val="00471E2F"/>
    <w:rsid w:val="00471E91"/>
    <w:rsid w:val="00474675"/>
    <w:rsid w:val="0047470C"/>
    <w:rsid w:val="004828D6"/>
    <w:rsid w:val="004A35F9"/>
    <w:rsid w:val="004B24C1"/>
    <w:rsid w:val="004B3969"/>
    <w:rsid w:val="004C292F"/>
    <w:rsid w:val="004E5336"/>
    <w:rsid w:val="004F311D"/>
    <w:rsid w:val="00506220"/>
    <w:rsid w:val="00507571"/>
    <w:rsid w:val="00510280"/>
    <w:rsid w:val="00513D73"/>
    <w:rsid w:val="00514A43"/>
    <w:rsid w:val="005174E5"/>
    <w:rsid w:val="00522393"/>
    <w:rsid w:val="00522620"/>
    <w:rsid w:val="00525656"/>
    <w:rsid w:val="00534C02"/>
    <w:rsid w:val="0054264B"/>
    <w:rsid w:val="00543786"/>
    <w:rsid w:val="005533D7"/>
    <w:rsid w:val="005703DE"/>
    <w:rsid w:val="0058464E"/>
    <w:rsid w:val="00593B48"/>
    <w:rsid w:val="005A01CB"/>
    <w:rsid w:val="005A58FF"/>
    <w:rsid w:val="005A5EAF"/>
    <w:rsid w:val="005A64C0"/>
    <w:rsid w:val="005B3C11"/>
    <w:rsid w:val="005C1C28"/>
    <w:rsid w:val="005C6DB5"/>
    <w:rsid w:val="005E19E7"/>
    <w:rsid w:val="005F0D35"/>
    <w:rsid w:val="005F691C"/>
    <w:rsid w:val="0061716C"/>
    <w:rsid w:val="006213E3"/>
    <w:rsid w:val="006243A1"/>
    <w:rsid w:val="00632E56"/>
    <w:rsid w:val="00635CBA"/>
    <w:rsid w:val="0064338B"/>
    <w:rsid w:val="00646542"/>
    <w:rsid w:val="006504F4"/>
    <w:rsid w:val="00654BC9"/>
    <w:rsid w:val="006552FD"/>
    <w:rsid w:val="00663AF3"/>
    <w:rsid w:val="00666B6C"/>
    <w:rsid w:val="00680920"/>
    <w:rsid w:val="00682682"/>
    <w:rsid w:val="00682702"/>
    <w:rsid w:val="00682CAE"/>
    <w:rsid w:val="00692368"/>
    <w:rsid w:val="006A2EBC"/>
    <w:rsid w:val="006A5EA0"/>
    <w:rsid w:val="006A783B"/>
    <w:rsid w:val="006A7B33"/>
    <w:rsid w:val="006B16DE"/>
    <w:rsid w:val="006B321B"/>
    <w:rsid w:val="006B4E13"/>
    <w:rsid w:val="006B75DD"/>
    <w:rsid w:val="006C67E0"/>
    <w:rsid w:val="006C7ABA"/>
    <w:rsid w:val="006D0D60"/>
    <w:rsid w:val="006D1122"/>
    <w:rsid w:val="006D3C00"/>
    <w:rsid w:val="006D6CF4"/>
    <w:rsid w:val="006E3675"/>
    <w:rsid w:val="006E4A7F"/>
    <w:rsid w:val="00704DF6"/>
    <w:rsid w:val="0070651C"/>
    <w:rsid w:val="007110CF"/>
    <w:rsid w:val="007132A3"/>
    <w:rsid w:val="00713D07"/>
    <w:rsid w:val="00716421"/>
    <w:rsid w:val="0072392D"/>
    <w:rsid w:val="00724EFB"/>
    <w:rsid w:val="00731831"/>
    <w:rsid w:val="007330C5"/>
    <w:rsid w:val="00736D4C"/>
    <w:rsid w:val="007419C3"/>
    <w:rsid w:val="00744F22"/>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63C6"/>
    <w:rsid w:val="007F758D"/>
    <w:rsid w:val="007F7D52"/>
    <w:rsid w:val="00801E3F"/>
    <w:rsid w:val="0080654C"/>
    <w:rsid w:val="008071C6"/>
    <w:rsid w:val="00817A00"/>
    <w:rsid w:val="00835DB3"/>
    <w:rsid w:val="0083617B"/>
    <w:rsid w:val="008371BD"/>
    <w:rsid w:val="008504A8"/>
    <w:rsid w:val="0085282E"/>
    <w:rsid w:val="0087198C"/>
    <w:rsid w:val="00872C1F"/>
    <w:rsid w:val="00873B42"/>
    <w:rsid w:val="008856D8"/>
    <w:rsid w:val="00892E82"/>
    <w:rsid w:val="00895EF4"/>
    <w:rsid w:val="008C1B58"/>
    <w:rsid w:val="008C39AE"/>
    <w:rsid w:val="008C39B0"/>
    <w:rsid w:val="008C590D"/>
    <w:rsid w:val="008E031B"/>
    <w:rsid w:val="008E3679"/>
    <w:rsid w:val="008E7029"/>
    <w:rsid w:val="008E7EF6"/>
    <w:rsid w:val="008F1741"/>
    <w:rsid w:val="008F1F98"/>
    <w:rsid w:val="008F6758"/>
    <w:rsid w:val="009040DD"/>
    <w:rsid w:val="00905B47"/>
    <w:rsid w:val="009105AC"/>
    <w:rsid w:val="0091331C"/>
    <w:rsid w:val="009253B4"/>
    <w:rsid w:val="009279DE"/>
    <w:rsid w:val="00930116"/>
    <w:rsid w:val="009316D1"/>
    <w:rsid w:val="00935B0E"/>
    <w:rsid w:val="0094212C"/>
    <w:rsid w:val="00950D4D"/>
    <w:rsid w:val="00954689"/>
    <w:rsid w:val="00955F82"/>
    <w:rsid w:val="00960E23"/>
    <w:rsid w:val="009617C9"/>
    <w:rsid w:val="00961C93"/>
    <w:rsid w:val="00965324"/>
    <w:rsid w:val="0097091E"/>
    <w:rsid w:val="0097303C"/>
    <w:rsid w:val="009760D3"/>
    <w:rsid w:val="00977132"/>
    <w:rsid w:val="00981A4B"/>
    <w:rsid w:val="00982501"/>
    <w:rsid w:val="009877D3"/>
    <w:rsid w:val="00994E8F"/>
    <w:rsid w:val="009951DC"/>
    <w:rsid w:val="009959BB"/>
    <w:rsid w:val="00997158"/>
    <w:rsid w:val="009A3A7C"/>
    <w:rsid w:val="009A504C"/>
    <w:rsid w:val="009A623A"/>
    <w:rsid w:val="009B2ADB"/>
    <w:rsid w:val="009B603A"/>
    <w:rsid w:val="009C2D0E"/>
    <w:rsid w:val="009C3DAC"/>
    <w:rsid w:val="009C42E0"/>
    <w:rsid w:val="009D5362"/>
    <w:rsid w:val="009E1415"/>
    <w:rsid w:val="009E6116"/>
    <w:rsid w:val="00A00E93"/>
    <w:rsid w:val="00A01CCA"/>
    <w:rsid w:val="00A02E43"/>
    <w:rsid w:val="00A065F9"/>
    <w:rsid w:val="00A07F34"/>
    <w:rsid w:val="00A14696"/>
    <w:rsid w:val="00A22154"/>
    <w:rsid w:val="00A25C38"/>
    <w:rsid w:val="00A36508"/>
    <w:rsid w:val="00A36BBE"/>
    <w:rsid w:val="00A4307A"/>
    <w:rsid w:val="00A43B42"/>
    <w:rsid w:val="00A47EBB"/>
    <w:rsid w:val="00A51CDD"/>
    <w:rsid w:val="00A6730D"/>
    <w:rsid w:val="00A71625"/>
    <w:rsid w:val="00A71B9B"/>
    <w:rsid w:val="00A751C7"/>
    <w:rsid w:val="00A82E93"/>
    <w:rsid w:val="00A87844"/>
    <w:rsid w:val="00A91D2B"/>
    <w:rsid w:val="00AA038C"/>
    <w:rsid w:val="00AA5303"/>
    <w:rsid w:val="00AA7A09"/>
    <w:rsid w:val="00AB073B"/>
    <w:rsid w:val="00AB11B4"/>
    <w:rsid w:val="00AB3B50"/>
    <w:rsid w:val="00AC05B1"/>
    <w:rsid w:val="00AD356C"/>
    <w:rsid w:val="00AE2914"/>
    <w:rsid w:val="00AE6D15"/>
    <w:rsid w:val="00AE7A82"/>
    <w:rsid w:val="00AF6D85"/>
    <w:rsid w:val="00B00895"/>
    <w:rsid w:val="00B04182"/>
    <w:rsid w:val="00B07AE3"/>
    <w:rsid w:val="00B11430"/>
    <w:rsid w:val="00B328BF"/>
    <w:rsid w:val="00B353EB"/>
    <w:rsid w:val="00B439C4"/>
    <w:rsid w:val="00B4535E"/>
    <w:rsid w:val="00B52A8C"/>
    <w:rsid w:val="00B636A8"/>
    <w:rsid w:val="00B665C6"/>
    <w:rsid w:val="00B67E25"/>
    <w:rsid w:val="00B805AF"/>
    <w:rsid w:val="00B869EC"/>
    <w:rsid w:val="00B92688"/>
    <w:rsid w:val="00B9397A"/>
    <w:rsid w:val="00B9633D"/>
    <w:rsid w:val="00B9655B"/>
    <w:rsid w:val="00BA0B75"/>
    <w:rsid w:val="00BA2EBE"/>
    <w:rsid w:val="00BB0F28"/>
    <w:rsid w:val="00BB458A"/>
    <w:rsid w:val="00BC76EC"/>
    <w:rsid w:val="00BD00D3"/>
    <w:rsid w:val="00BD1659"/>
    <w:rsid w:val="00BD3AA9"/>
    <w:rsid w:val="00BD4A18"/>
    <w:rsid w:val="00BD6DB2"/>
    <w:rsid w:val="00BD6FC2"/>
    <w:rsid w:val="00BE11CF"/>
    <w:rsid w:val="00BE21AB"/>
    <w:rsid w:val="00BE55CB"/>
    <w:rsid w:val="00BF617A"/>
    <w:rsid w:val="00BF6FCE"/>
    <w:rsid w:val="00C0379D"/>
    <w:rsid w:val="00C03931"/>
    <w:rsid w:val="00C05FE3"/>
    <w:rsid w:val="00C2136D"/>
    <w:rsid w:val="00C214EE"/>
    <w:rsid w:val="00C2314B"/>
    <w:rsid w:val="00C24971"/>
    <w:rsid w:val="00C26BE5"/>
    <w:rsid w:val="00C26E4D"/>
    <w:rsid w:val="00C27909"/>
    <w:rsid w:val="00C27B03"/>
    <w:rsid w:val="00C314E1"/>
    <w:rsid w:val="00C34397"/>
    <w:rsid w:val="00C3788B"/>
    <w:rsid w:val="00C4095D"/>
    <w:rsid w:val="00C601D2"/>
    <w:rsid w:val="00C65BCC"/>
    <w:rsid w:val="00C66970"/>
    <w:rsid w:val="00C7471D"/>
    <w:rsid w:val="00C83FFC"/>
    <w:rsid w:val="00C8691C"/>
    <w:rsid w:val="00C94406"/>
    <w:rsid w:val="00CA168A"/>
    <w:rsid w:val="00CA357E"/>
    <w:rsid w:val="00CA44F9"/>
    <w:rsid w:val="00CA4A69"/>
    <w:rsid w:val="00CA517F"/>
    <w:rsid w:val="00CA6D3F"/>
    <w:rsid w:val="00CC3E0C"/>
    <w:rsid w:val="00CC58D3"/>
    <w:rsid w:val="00CC784D"/>
    <w:rsid w:val="00CD41EB"/>
    <w:rsid w:val="00CD7E56"/>
    <w:rsid w:val="00CE6BE7"/>
    <w:rsid w:val="00CF5B3F"/>
    <w:rsid w:val="00D0337B"/>
    <w:rsid w:val="00D04D77"/>
    <w:rsid w:val="00D079B2"/>
    <w:rsid w:val="00D114E9"/>
    <w:rsid w:val="00D146BC"/>
    <w:rsid w:val="00D429C6"/>
    <w:rsid w:val="00D45CE1"/>
    <w:rsid w:val="00D47748"/>
    <w:rsid w:val="00D5096C"/>
    <w:rsid w:val="00D54950"/>
    <w:rsid w:val="00D54CC3"/>
    <w:rsid w:val="00D6041A"/>
    <w:rsid w:val="00D633EB"/>
    <w:rsid w:val="00D732D4"/>
    <w:rsid w:val="00D82FF7"/>
    <w:rsid w:val="00D847FE"/>
    <w:rsid w:val="00D84CE1"/>
    <w:rsid w:val="00D865E7"/>
    <w:rsid w:val="00D964EA"/>
    <w:rsid w:val="00D966D0"/>
    <w:rsid w:val="00DA0C59"/>
    <w:rsid w:val="00DA3991"/>
    <w:rsid w:val="00DB0990"/>
    <w:rsid w:val="00DB7E6C"/>
    <w:rsid w:val="00DD5A29"/>
    <w:rsid w:val="00DD5D9D"/>
    <w:rsid w:val="00DE35CB"/>
    <w:rsid w:val="00DF21E9"/>
    <w:rsid w:val="00E00F14"/>
    <w:rsid w:val="00E06386"/>
    <w:rsid w:val="00E13934"/>
    <w:rsid w:val="00E13FBF"/>
    <w:rsid w:val="00E24EB4"/>
    <w:rsid w:val="00E320ED"/>
    <w:rsid w:val="00E33AFB"/>
    <w:rsid w:val="00E34218"/>
    <w:rsid w:val="00E46282"/>
    <w:rsid w:val="00E512FE"/>
    <w:rsid w:val="00E5216E"/>
    <w:rsid w:val="00E727DA"/>
    <w:rsid w:val="00E82344"/>
    <w:rsid w:val="00E84C82"/>
    <w:rsid w:val="00E84D64"/>
    <w:rsid w:val="00E87408"/>
    <w:rsid w:val="00E914C4"/>
    <w:rsid w:val="00E92263"/>
    <w:rsid w:val="00E934F5"/>
    <w:rsid w:val="00E95ADC"/>
    <w:rsid w:val="00E96961"/>
    <w:rsid w:val="00EA72EC"/>
    <w:rsid w:val="00EB11CB"/>
    <w:rsid w:val="00EB206F"/>
    <w:rsid w:val="00EB275A"/>
    <w:rsid w:val="00EB4977"/>
    <w:rsid w:val="00EB786A"/>
    <w:rsid w:val="00EC1578"/>
    <w:rsid w:val="00EC1C72"/>
    <w:rsid w:val="00EC3CC9"/>
    <w:rsid w:val="00EC680A"/>
    <w:rsid w:val="00ED332E"/>
    <w:rsid w:val="00EE2BED"/>
    <w:rsid w:val="00EE374B"/>
    <w:rsid w:val="00F11BB5"/>
    <w:rsid w:val="00F1417B"/>
    <w:rsid w:val="00F2415D"/>
    <w:rsid w:val="00F34B99"/>
    <w:rsid w:val="00F52DAB"/>
    <w:rsid w:val="00F543F0"/>
    <w:rsid w:val="00F81D29"/>
    <w:rsid w:val="00F85234"/>
    <w:rsid w:val="00F917BE"/>
    <w:rsid w:val="00F91C4D"/>
    <w:rsid w:val="00F92FD9"/>
    <w:rsid w:val="00FA6684"/>
    <w:rsid w:val="00FA731E"/>
    <w:rsid w:val="00FB2B38"/>
    <w:rsid w:val="00FC6358"/>
    <w:rsid w:val="00FD01CF"/>
    <w:rsid w:val="00FD320D"/>
    <w:rsid w:val="00FE23DE"/>
    <w:rsid w:val="00FE4EDC"/>
    <w:rsid w:val="06BF3F4D"/>
    <w:rsid w:val="098A4536"/>
    <w:rsid w:val="09A65C03"/>
    <w:rsid w:val="0A586450"/>
    <w:rsid w:val="0A7E2C8B"/>
    <w:rsid w:val="0B651C86"/>
    <w:rsid w:val="0B8A0DDD"/>
    <w:rsid w:val="0C2201F0"/>
    <w:rsid w:val="0F7A1544"/>
    <w:rsid w:val="0FE94CD4"/>
    <w:rsid w:val="145369DD"/>
    <w:rsid w:val="154E55CE"/>
    <w:rsid w:val="164E1ECF"/>
    <w:rsid w:val="16520159"/>
    <w:rsid w:val="17677ED8"/>
    <w:rsid w:val="17BB5D36"/>
    <w:rsid w:val="18BE63DC"/>
    <w:rsid w:val="1AAC6FEE"/>
    <w:rsid w:val="1C414E6A"/>
    <w:rsid w:val="1DB835E7"/>
    <w:rsid w:val="1DED3821"/>
    <w:rsid w:val="20A75822"/>
    <w:rsid w:val="21F71458"/>
    <w:rsid w:val="222C470D"/>
    <w:rsid w:val="24CB7F57"/>
    <w:rsid w:val="26303860"/>
    <w:rsid w:val="26D52280"/>
    <w:rsid w:val="280717E7"/>
    <w:rsid w:val="28BF09F9"/>
    <w:rsid w:val="28C708D5"/>
    <w:rsid w:val="29472BBB"/>
    <w:rsid w:val="29815A0E"/>
    <w:rsid w:val="2B3B66F4"/>
    <w:rsid w:val="2F464974"/>
    <w:rsid w:val="36923968"/>
    <w:rsid w:val="375A1174"/>
    <w:rsid w:val="38840840"/>
    <w:rsid w:val="39557633"/>
    <w:rsid w:val="39F52A0B"/>
    <w:rsid w:val="3BF5323A"/>
    <w:rsid w:val="3C31463D"/>
    <w:rsid w:val="3CA12F29"/>
    <w:rsid w:val="3D7A1879"/>
    <w:rsid w:val="3E7B14D6"/>
    <w:rsid w:val="3F447630"/>
    <w:rsid w:val="3F657975"/>
    <w:rsid w:val="3FE75E52"/>
    <w:rsid w:val="3FE941A2"/>
    <w:rsid w:val="40414966"/>
    <w:rsid w:val="41B268A2"/>
    <w:rsid w:val="423C6469"/>
    <w:rsid w:val="42B06730"/>
    <w:rsid w:val="46E14BCA"/>
    <w:rsid w:val="47B41AE4"/>
    <w:rsid w:val="4AD3429F"/>
    <w:rsid w:val="4C37772C"/>
    <w:rsid w:val="509B44F3"/>
    <w:rsid w:val="51393F7A"/>
    <w:rsid w:val="537142D8"/>
    <w:rsid w:val="54D723E8"/>
    <w:rsid w:val="567037A9"/>
    <w:rsid w:val="573C55CE"/>
    <w:rsid w:val="57943872"/>
    <w:rsid w:val="5B3B17DA"/>
    <w:rsid w:val="5B89440D"/>
    <w:rsid w:val="5C4B15FC"/>
    <w:rsid w:val="5DE40558"/>
    <w:rsid w:val="5FB12207"/>
    <w:rsid w:val="605B747B"/>
    <w:rsid w:val="60977884"/>
    <w:rsid w:val="63213514"/>
    <w:rsid w:val="64A52324"/>
    <w:rsid w:val="65B93BBB"/>
    <w:rsid w:val="69B8155B"/>
    <w:rsid w:val="69BD5918"/>
    <w:rsid w:val="69EC2299"/>
    <w:rsid w:val="6A08218F"/>
    <w:rsid w:val="6B784FCA"/>
    <w:rsid w:val="6C642EFA"/>
    <w:rsid w:val="6F997783"/>
    <w:rsid w:val="70840E2E"/>
    <w:rsid w:val="70963668"/>
    <w:rsid w:val="70E437E2"/>
    <w:rsid w:val="75202268"/>
    <w:rsid w:val="75F80229"/>
    <w:rsid w:val="783605CD"/>
    <w:rsid w:val="786F372E"/>
    <w:rsid w:val="78714EE1"/>
    <w:rsid w:val="79784120"/>
    <w:rsid w:val="7D9040B0"/>
    <w:rsid w:val="7EC21AF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9"/>
    <w:pPr>
      <w:keepNext/>
      <w:keepLines/>
      <w:spacing w:before="340" w:after="330" w:line="360" w:lineRule="auto"/>
      <w:outlineLvl w:val="0"/>
    </w:pPr>
    <w:rPr>
      <w:rFonts w:ascii="Calibri" w:hAnsi="Calibri"/>
      <w:b/>
      <w:bCs/>
      <w:kern w:val="44"/>
      <w:sz w:val="32"/>
      <w:szCs w:val="44"/>
    </w:rPr>
  </w:style>
  <w:style w:type="paragraph" w:styleId="3">
    <w:name w:val="heading 2"/>
    <w:basedOn w:val="1"/>
    <w:next w:val="1"/>
    <w:link w:val="49"/>
    <w:qFormat/>
    <w:uiPriority w:val="9"/>
    <w:pPr>
      <w:keepNext/>
      <w:keepLines/>
      <w:spacing w:beforeLines="50" w:afterLines="50" w:line="360" w:lineRule="auto"/>
      <w:outlineLvl w:val="1"/>
    </w:pPr>
    <w:rPr>
      <w:rFonts w:ascii="Calibri Light" w:hAnsi="Calibri Light"/>
      <w:b/>
      <w:bCs/>
      <w:sz w:val="30"/>
      <w:szCs w:val="32"/>
    </w:rPr>
  </w:style>
  <w:style w:type="paragraph" w:styleId="4">
    <w:name w:val="heading 3"/>
    <w:basedOn w:val="1"/>
    <w:next w:val="1"/>
    <w:link w:val="54"/>
    <w:qFormat/>
    <w:uiPriority w:val="9"/>
    <w:pPr>
      <w:keepNext/>
      <w:keepLines/>
      <w:spacing w:beforeLines="50" w:afterLines="50" w:line="360" w:lineRule="auto"/>
      <w:outlineLvl w:val="2"/>
    </w:pPr>
    <w:rPr>
      <w:rFonts w:ascii="Calibri" w:hAnsi="Calibri" w:eastAsia="黑体"/>
      <w:bCs/>
      <w:szCs w:val="32"/>
    </w:rPr>
  </w:style>
  <w:style w:type="paragraph" w:styleId="5">
    <w:name w:val="heading 4"/>
    <w:basedOn w:val="1"/>
    <w:next w:val="1"/>
    <w:link w:val="55"/>
    <w:qFormat/>
    <w:uiPriority w:val="9"/>
    <w:pPr>
      <w:spacing w:line="360" w:lineRule="auto"/>
      <w:ind w:firstLine="200" w:firstLineChars="200"/>
      <w:outlineLvl w:val="3"/>
    </w:pPr>
    <w:rPr>
      <w:rFonts w:ascii="Calibri Light" w:hAnsi="Calibri Light"/>
      <w:szCs w:val="28"/>
    </w:rPr>
  </w:style>
  <w:style w:type="character" w:default="1" w:styleId="37">
    <w:name w:val="Default Paragraph Font"/>
    <w:semiHidden/>
    <w:uiPriority w:val="0"/>
  </w:style>
  <w:style w:type="table" w:default="1" w:styleId="35">
    <w:name w:val="Normal Table"/>
    <w:semiHidden/>
    <w:uiPriority w:val="0"/>
    <w:tblPr>
      <w:tblLayout w:type="fixed"/>
      <w:tblCellMar>
        <w:top w:w="0" w:type="dxa"/>
        <w:left w:w="108" w:type="dxa"/>
        <w:bottom w:w="0" w:type="dxa"/>
        <w:right w:w="108" w:type="dxa"/>
      </w:tblCellMar>
    </w:tblPr>
  </w:style>
  <w:style w:type="paragraph" w:styleId="6">
    <w:name w:val="toc 7"/>
    <w:basedOn w:val="1"/>
    <w:next w:val="1"/>
    <w:qFormat/>
    <w:uiPriority w:val="39"/>
    <w:pPr>
      <w:tabs>
        <w:tab w:val="right" w:leader="dot" w:pos="9241"/>
      </w:tabs>
      <w:ind w:firstLine="505" w:firstLineChars="500"/>
      <w:jc w:val="left"/>
    </w:pPr>
    <w:rPr>
      <w:rFonts w:ascii="宋体"/>
      <w:szCs w:val="21"/>
    </w:rPr>
  </w:style>
  <w:style w:type="paragraph" w:styleId="7">
    <w:name w:val="index 8"/>
    <w:basedOn w:val="1"/>
    <w:next w:val="1"/>
    <w:uiPriority w:val="0"/>
    <w:pPr>
      <w:ind w:left="1680" w:hanging="210"/>
      <w:jc w:val="left"/>
    </w:pPr>
    <w:rPr>
      <w:rFonts w:ascii="Calibri" w:hAnsi="Calibri"/>
      <w:sz w:val="20"/>
      <w:szCs w:val="20"/>
    </w:rPr>
  </w:style>
  <w:style w:type="paragraph" w:styleId="8">
    <w:name w:val="caption"/>
    <w:basedOn w:val="1"/>
    <w:next w:val="1"/>
    <w:qFormat/>
    <w:uiPriority w:val="35"/>
    <w:pPr>
      <w:spacing w:before="152" w:after="160"/>
    </w:pPr>
    <w:rPr>
      <w:rFonts w:ascii="Arial" w:hAnsi="Arial" w:eastAsia="黑体" w:cs="Arial"/>
      <w:sz w:val="20"/>
      <w:szCs w:val="20"/>
    </w:rPr>
  </w:style>
  <w:style w:type="paragraph" w:styleId="9">
    <w:name w:val="index 5"/>
    <w:basedOn w:val="1"/>
    <w:next w:val="1"/>
    <w:uiPriority w:val="0"/>
    <w:pPr>
      <w:ind w:left="1050" w:hanging="210"/>
      <w:jc w:val="left"/>
    </w:pPr>
    <w:rPr>
      <w:rFonts w:ascii="Calibri" w:hAnsi="Calibri"/>
      <w:sz w:val="20"/>
      <w:szCs w:val="20"/>
    </w:rPr>
  </w:style>
  <w:style w:type="paragraph" w:styleId="10">
    <w:name w:val="Document Map"/>
    <w:basedOn w:val="1"/>
    <w:semiHidden/>
    <w:uiPriority w:val="0"/>
    <w:pPr>
      <w:shd w:val="clear" w:color="auto" w:fill="000080"/>
    </w:pPr>
  </w:style>
  <w:style w:type="paragraph" w:styleId="11">
    <w:name w:val="annotation text"/>
    <w:basedOn w:val="1"/>
    <w:link w:val="50"/>
    <w:qFormat/>
    <w:uiPriority w:val="0"/>
    <w:pPr>
      <w:spacing w:line="360" w:lineRule="auto"/>
      <w:ind w:firstLine="200" w:firstLineChars="200"/>
      <w:jc w:val="left"/>
    </w:pPr>
    <w:rPr>
      <w:rFonts w:ascii="Calibri" w:hAnsi="Calibri"/>
      <w:szCs w:val="22"/>
    </w:rPr>
  </w:style>
  <w:style w:type="paragraph" w:styleId="12">
    <w:name w:val="index 6"/>
    <w:basedOn w:val="1"/>
    <w:next w:val="1"/>
    <w:uiPriority w:val="0"/>
    <w:pPr>
      <w:ind w:left="1260" w:hanging="210"/>
      <w:jc w:val="left"/>
    </w:pPr>
    <w:rPr>
      <w:rFonts w:ascii="Calibri" w:hAnsi="Calibri"/>
      <w:sz w:val="20"/>
      <w:szCs w:val="20"/>
    </w:rPr>
  </w:style>
  <w:style w:type="paragraph" w:styleId="13">
    <w:name w:val="Body Text"/>
    <w:basedOn w:val="1"/>
    <w:link w:val="45"/>
    <w:qFormat/>
    <w:uiPriority w:val="1"/>
    <w:pPr>
      <w:spacing w:line="360" w:lineRule="auto"/>
      <w:ind w:firstLine="200" w:firstLineChars="200"/>
    </w:pPr>
    <w:rPr>
      <w:rFonts w:ascii="宋体" w:hAnsi="宋体"/>
      <w:szCs w:val="21"/>
    </w:rPr>
  </w:style>
  <w:style w:type="paragraph" w:styleId="14">
    <w:name w:val="index 4"/>
    <w:basedOn w:val="1"/>
    <w:next w:val="1"/>
    <w:uiPriority w:val="0"/>
    <w:pPr>
      <w:ind w:left="840" w:hanging="210"/>
      <w:jc w:val="left"/>
    </w:pPr>
    <w:rPr>
      <w:rFonts w:ascii="Calibri" w:hAnsi="Calibri"/>
      <w:sz w:val="20"/>
      <w:szCs w:val="20"/>
    </w:rPr>
  </w:style>
  <w:style w:type="paragraph" w:styleId="15">
    <w:name w:val="toc 5"/>
    <w:basedOn w:val="1"/>
    <w:next w:val="1"/>
    <w:qFormat/>
    <w:uiPriority w:val="39"/>
    <w:pPr>
      <w:tabs>
        <w:tab w:val="right" w:leader="dot" w:pos="9241"/>
      </w:tabs>
      <w:ind w:firstLine="300" w:firstLineChars="300"/>
      <w:jc w:val="left"/>
    </w:pPr>
    <w:rPr>
      <w:rFonts w:ascii="宋体"/>
      <w:szCs w:val="21"/>
    </w:rPr>
  </w:style>
  <w:style w:type="paragraph" w:styleId="16">
    <w:name w:val="toc 3"/>
    <w:basedOn w:val="1"/>
    <w:next w:val="1"/>
    <w:qFormat/>
    <w:uiPriority w:val="39"/>
    <w:pPr>
      <w:tabs>
        <w:tab w:val="right" w:leader="dot" w:pos="9241"/>
      </w:tabs>
      <w:ind w:firstLine="102" w:firstLineChars="100"/>
      <w:jc w:val="left"/>
    </w:pPr>
    <w:rPr>
      <w:rFonts w:ascii="宋体"/>
      <w:szCs w:val="21"/>
    </w:rPr>
  </w:style>
  <w:style w:type="paragraph" w:styleId="17">
    <w:name w:val="toc 8"/>
    <w:basedOn w:val="1"/>
    <w:next w:val="1"/>
    <w:qFormat/>
    <w:uiPriority w:val="39"/>
    <w:pPr>
      <w:tabs>
        <w:tab w:val="right" w:leader="dot" w:pos="9241"/>
      </w:tabs>
      <w:ind w:firstLine="607" w:firstLineChars="600"/>
      <w:jc w:val="left"/>
    </w:pPr>
    <w:rPr>
      <w:rFonts w:ascii="宋体"/>
      <w:szCs w:val="21"/>
    </w:rPr>
  </w:style>
  <w:style w:type="paragraph" w:styleId="18">
    <w:name w:val="index 3"/>
    <w:basedOn w:val="1"/>
    <w:next w:val="1"/>
    <w:uiPriority w:val="0"/>
    <w:pPr>
      <w:ind w:left="630" w:hanging="210"/>
      <w:jc w:val="left"/>
    </w:pPr>
    <w:rPr>
      <w:rFonts w:ascii="Calibri" w:hAnsi="Calibri"/>
      <w:sz w:val="20"/>
      <w:szCs w:val="20"/>
    </w:rPr>
  </w:style>
  <w:style w:type="paragraph" w:styleId="19">
    <w:name w:val="endnote text"/>
    <w:basedOn w:val="1"/>
    <w:semiHidden/>
    <w:uiPriority w:val="0"/>
    <w:pPr>
      <w:snapToGrid w:val="0"/>
      <w:jc w:val="left"/>
    </w:pPr>
  </w:style>
  <w:style w:type="paragraph" w:styleId="20">
    <w:name w:val="Balloon Text"/>
    <w:basedOn w:val="1"/>
    <w:link w:val="56"/>
    <w:qFormat/>
    <w:uiPriority w:val="0"/>
    <w:pPr>
      <w:ind w:firstLine="200" w:firstLineChars="200"/>
    </w:pPr>
    <w:rPr>
      <w:rFonts w:ascii="Calibri" w:hAnsi="Calibri"/>
      <w:sz w:val="18"/>
      <w:szCs w:val="18"/>
    </w:rPr>
  </w:style>
  <w:style w:type="paragraph" w:styleId="21">
    <w:name w:val="footer"/>
    <w:basedOn w:val="1"/>
    <w:link w:val="51"/>
    <w:qFormat/>
    <w:uiPriority w:val="99"/>
    <w:pPr>
      <w:snapToGrid w:val="0"/>
      <w:ind w:right="210" w:rightChars="100"/>
      <w:jc w:val="right"/>
    </w:pPr>
    <w:rPr>
      <w:sz w:val="18"/>
      <w:szCs w:val="18"/>
    </w:rPr>
  </w:style>
  <w:style w:type="paragraph" w:styleId="22">
    <w:name w:val="header"/>
    <w:basedOn w:val="1"/>
    <w:qFormat/>
    <w:uiPriority w:val="99"/>
    <w:pPr>
      <w:snapToGrid w:val="0"/>
      <w:jc w:val="left"/>
    </w:pPr>
    <w:rPr>
      <w:sz w:val="18"/>
      <w:szCs w:val="18"/>
    </w:rPr>
  </w:style>
  <w:style w:type="paragraph" w:styleId="23">
    <w:name w:val="toc 1"/>
    <w:basedOn w:val="1"/>
    <w:next w:val="1"/>
    <w:qFormat/>
    <w:uiPriority w:val="39"/>
    <w:pPr>
      <w:tabs>
        <w:tab w:val="right" w:leader="dot" w:pos="9241"/>
      </w:tabs>
      <w:spacing w:beforeLines="25" w:afterLines="25"/>
      <w:jc w:val="left"/>
    </w:pPr>
    <w:rPr>
      <w:rFonts w:ascii="宋体"/>
      <w:szCs w:val="21"/>
    </w:rPr>
  </w:style>
  <w:style w:type="paragraph" w:styleId="24">
    <w:name w:val="toc 4"/>
    <w:basedOn w:val="1"/>
    <w:next w:val="1"/>
    <w:qFormat/>
    <w:uiPriority w:val="39"/>
    <w:pPr>
      <w:tabs>
        <w:tab w:val="right" w:leader="dot" w:pos="9241"/>
      </w:tabs>
      <w:ind w:firstLine="198" w:firstLineChars="200"/>
      <w:jc w:val="left"/>
    </w:pPr>
    <w:rPr>
      <w:rFonts w:ascii="宋体"/>
      <w:szCs w:val="21"/>
    </w:rPr>
  </w:style>
  <w:style w:type="paragraph" w:styleId="25">
    <w:name w:val="index heading"/>
    <w:basedOn w:val="1"/>
    <w:next w:val="26"/>
    <w:uiPriority w:val="0"/>
    <w:pPr>
      <w:spacing w:before="120" w:after="120"/>
      <w:jc w:val="center"/>
    </w:pPr>
    <w:rPr>
      <w:rFonts w:ascii="Calibri" w:hAnsi="Calibri"/>
      <w:b/>
      <w:bCs/>
      <w:iCs/>
      <w:szCs w:val="20"/>
    </w:rPr>
  </w:style>
  <w:style w:type="paragraph" w:styleId="26">
    <w:name w:val="index 1"/>
    <w:basedOn w:val="1"/>
    <w:next w:val="27"/>
    <w:uiPriority w:val="0"/>
    <w:pPr>
      <w:tabs>
        <w:tab w:val="right" w:leader="dot" w:pos="9299"/>
      </w:tabs>
      <w:jc w:val="left"/>
    </w:pPr>
    <w:rPr>
      <w:rFonts w:ascii="宋体"/>
      <w:szCs w:val="21"/>
    </w:rPr>
  </w:style>
  <w:style w:type="paragraph" w:customStyle="1" w:styleId="27">
    <w:name w:val="段"/>
    <w:link w:val="52"/>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uiPriority w:val="0"/>
    <w:pPr>
      <w:numPr>
        <w:ilvl w:val="0"/>
        <w:numId w:val="1"/>
      </w:numPr>
      <w:snapToGrid w:val="0"/>
      <w:jc w:val="left"/>
    </w:pPr>
    <w:rPr>
      <w:rFonts w:ascii="宋体"/>
      <w:sz w:val="18"/>
      <w:szCs w:val="18"/>
    </w:rPr>
  </w:style>
  <w:style w:type="paragraph" w:styleId="29">
    <w:name w:val="toc 6"/>
    <w:basedOn w:val="1"/>
    <w:next w:val="1"/>
    <w:qFormat/>
    <w:uiPriority w:val="39"/>
    <w:pPr>
      <w:tabs>
        <w:tab w:val="right" w:leader="dot" w:pos="9241"/>
      </w:tabs>
      <w:ind w:firstLine="403" w:firstLineChars="400"/>
      <w:jc w:val="left"/>
    </w:pPr>
    <w:rPr>
      <w:rFonts w:ascii="宋体"/>
      <w:szCs w:val="21"/>
    </w:rPr>
  </w:style>
  <w:style w:type="paragraph" w:styleId="30">
    <w:name w:val="index 7"/>
    <w:basedOn w:val="1"/>
    <w:next w:val="1"/>
    <w:uiPriority w:val="0"/>
    <w:pPr>
      <w:ind w:left="1470" w:hanging="210"/>
      <w:jc w:val="left"/>
    </w:pPr>
    <w:rPr>
      <w:rFonts w:ascii="Calibri" w:hAnsi="Calibri"/>
      <w:sz w:val="20"/>
      <w:szCs w:val="20"/>
    </w:rPr>
  </w:style>
  <w:style w:type="paragraph" w:styleId="31">
    <w:name w:val="index 9"/>
    <w:basedOn w:val="1"/>
    <w:next w:val="1"/>
    <w:uiPriority w:val="0"/>
    <w:pPr>
      <w:ind w:left="1890" w:hanging="210"/>
      <w:jc w:val="left"/>
    </w:pPr>
    <w:rPr>
      <w:rFonts w:ascii="Calibri" w:hAnsi="Calibri"/>
      <w:sz w:val="20"/>
      <w:szCs w:val="20"/>
    </w:rPr>
  </w:style>
  <w:style w:type="paragraph" w:styleId="32">
    <w:name w:val="toc 2"/>
    <w:basedOn w:val="1"/>
    <w:next w:val="1"/>
    <w:qFormat/>
    <w:uiPriority w:val="39"/>
    <w:pPr>
      <w:tabs>
        <w:tab w:val="right" w:leader="dot" w:pos="9241"/>
      </w:tabs>
    </w:pPr>
    <w:rPr>
      <w:rFonts w:ascii="宋体"/>
      <w:szCs w:val="21"/>
    </w:rPr>
  </w:style>
  <w:style w:type="paragraph" w:styleId="33">
    <w:name w:val="toc 9"/>
    <w:basedOn w:val="1"/>
    <w:next w:val="1"/>
    <w:qFormat/>
    <w:uiPriority w:val="39"/>
    <w:pPr>
      <w:ind w:left="1470"/>
      <w:jc w:val="left"/>
    </w:pPr>
    <w:rPr>
      <w:sz w:val="20"/>
      <w:szCs w:val="20"/>
    </w:rPr>
  </w:style>
  <w:style w:type="paragraph" w:styleId="34">
    <w:name w:val="index 2"/>
    <w:basedOn w:val="1"/>
    <w:next w:val="1"/>
    <w:uiPriority w:val="0"/>
    <w:pPr>
      <w:ind w:left="420" w:hanging="210"/>
      <w:jc w:val="left"/>
    </w:pPr>
    <w:rPr>
      <w:rFonts w:ascii="Calibri" w:hAnsi="Calibri"/>
      <w:sz w:val="20"/>
      <w:szCs w:val="20"/>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8">
    <w:name w:val="endnote reference"/>
    <w:semiHidden/>
    <w:uiPriority w:val="0"/>
    <w:rPr>
      <w:vertAlign w:val="superscript"/>
    </w:rPr>
  </w:style>
  <w:style w:type="character" w:styleId="39">
    <w:name w:val="page number"/>
    <w:uiPriority w:val="0"/>
    <w:rPr>
      <w:rFonts w:ascii="Times New Roman" w:hAnsi="Times New Roman" w:eastAsia="宋体"/>
      <w:sz w:val="18"/>
    </w:rPr>
  </w:style>
  <w:style w:type="character" w:styleId="40">
    <w:name w:val="FollowedHyperlink"/>
    <w:uiPriority w:val="0"/>
    <w:rPr>
      <w:color w:val="800080"/>
      <w:u w:val="single"/>
    </w:rPr>
  </w:style>
  <w:style w:type="character" w:styleId="41">
    <w:name w:val="Emphasis"/>
    <w:qFormat/>
    <w:uiPriority w:val="0"/>
    <w:rPr>
      <w:i/>
    </w:rPr>
  </w:style>
  <w:style w:type="character" w:styleId="42">
    <w:name w:val="Hyperlink"/>
    <w:qFormat/>
    <w:uiPriority w:val="99"/>
    <w:rPr>
      <w:color w:val="0000FF"/>
      <w:spacing w:val="0"/>
      <w:w w:val="100"/>
      <w:szCs w:val="21"/>
      <w:u w:val="single"/>
      <w:lang w:val="en-US" w:eastAsia="zh-CN"/>
    </w:rPr>
  </w:style>
  <w:style w:type="character" w:styleId="43">
    <w:name w:val="annotation reference"/>
    <w:qFormat/>
    <w:uiPriority w:val="0"/>
    <w:rPr>
      <w:sz w:val="21"/>
      <w:szCs w:val="21"/>
    </w:rPr>
  </w:style>
  <w:style w:type="character" w:styleId="44">
    <w:name w:val="footnote reference"/>
    <w:semiHidden/>
    <w:uiPriority w:val="0"/>
    <w:rPr>
      <w:vertAlign w:val="superscript"/>
    </w:rPr>
  </w:style>
  <w:style w:type="character" w:customStyle="1" w:styleId="45">
    <w:name w:val="正文文本 Char"/>
    <w:link w:val="13"/>
    <w:uiPriority w:val="1"/>
    <w:rPr>
      <w:rFonts w:ascii="宋体" w:hAnsi="宋体" w:cs="宋体"/>
      <w:kern w:val="2"/>
      <w:sz w:val="21"/>
      <w:szCs w:val="21"/>
    </w:rPr>
  </w:style>
  <w:style w:type="character" w:customStyle="1" w:styleId="46">
    <w:name w:val="标题 1 Char"/>
    <w:link w:val="2"/>
    <w:uiPriority w:val="9"/>
    <w:rPr>
      <w:rFonts w:ascii="Calibri" w:hAnsi="Calibri"/>
      <w:b/>
      <w:bCs/>
      <w:kern w:val="44"/>
      <w:sz w:val="32"/>
      <w:szCs w:val="44"/>
    </w:rPr>
  </w:style>
  <w:style w:type="character" w:customStyle="1" w:styleId="47">
    <w:name w:val="首示例 Char"/>
    <w:link w:val="48"/>
    <w:qFormat/>
    <w:uiPriority w:val="0"/>
    <w:rPr>
      <w:rFonts w:ascii="宋体" w:hAnsi="宋体"/>
      <w:kern w:val="2"/>
      <w:sz w:val="18"/>
      <w:szCs w:val="18"/>
      <w:lang w:val="en-US" w:eastAsia="zh-CN" w:bidi="ar-SA"/>
    </w:rPr>
  </w:style>
  <w:style w:type="paragraph" w:customStyle="1" w:styleId="48">
    <w:name w:val="首示例"/>
    <w:next w:val="27"/>
    <w:link w:val="47"/>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49">
    <w:name w:val="标题 2 Char"/>
    <w:link w:val="3"/>
    <w:qFormat/>
    <w:uiPriority w:val="9"/>
    <w:rPr>
      <w:rFonts w:ascii="Calibri Light" w:hAnsi="Calibri Light"/>
      <w:b/>
      <w:bCs/>
      <w:kern w:val="2"/>
      <w:sz w:val="30"/>
      <w:szCs w:val="32"/>
    </w:rPr>
  </w:style>
  <w:style w:type="character" w:customStyle="1" w:styleId="50">
    <w:name w:val="批注文字 Char"/>
    <w:link w:val="11"/>
    <w:qFormat/>
    <w:uiPriority w:val="0"/>
    <w:rPr>
      <w:rFonts w:ascii="Calibri" w:hAnsi="Calibri"/>
      <w:kern w:val="2"/>
      <w:sz w:val="21"/>
      <w:szCs w:val="22"/>
    </w:rPr>
  </w:style>
  <w:style w:type="character" w:customStyle="1" w:styleId="51">
    <w:name w:val="页脚 Char"/>
    <w:link w:val="21"/>
    <w:qFormat/>
    <w:uiPriority w:val="99"/>
    <w:rPr>
      <w:kern w:val="2"/>
      <w:sz w:val="18"/>
      <w:szCs w:val="18"/>
    </w:rPr>
  </w:style>
  <w:style w:type="character" w:customStyle="1" w:styleId="52">
    <w:name w:val="段 Char"/>
    <w:link w:val="27"/>
    <w:uiPriority w:val="99"/>
    <w:rPr>
      <w:rFonts w:ascii="宋体"/>
      <w:sz w:val="21"/>
      <w:lang w:val="en-US" w:eastAsia="zh-CN" w:bidi="ar-SA"/>
    </w:rPr>
  </w:style>
  <w:style w:type="character" w:customStyle="1" w:styleId="53">
    <w:name w:val="发布"/>
    <w:qFormat/>
    <w:uiPriority w:val="99"/>
    <w:rPr>
      <w:rFonts w:ascii="黑体" w:eastAsia="黑体"/>
      <w:spacing w:val="85"/>
      <w:w w:val="100"/>
      <w:position w:val="3"/>
      <w:sz w:val="28"/>
      <w:szCs w:val="28"/>
    </w:rPr>
  </w:style>
  <w:style w:type="character" w:customStyle="1" w:styleId="54">
    <w:name w:val="标题 3 Char"/>
    <w:link w:val="4"/>
    <w:qFormat/>
    <w:uiPriority w:val="9"/>
    <w:rPr>
      <w:rFonts w:ascii="Calibri" w:hAnsi="Calibri" w:eastAsia="黑体"/>
      <w:bCs/>
      <w:kern w:val="2"/>
      <w:sz w:val="21"/>
      <w:szCs w:val="32"/>
    </w:rPr>
  </w:style>
  <w:style w:type="character" w:customStyle="1" w:styleId="55">
    <w:name w:val="标题 4 Char"/>
    <w:link w:val="5"/>
    <w:qFormat/>
    <w:uiPriority w:val="9"/>
    <w:rPr>
      <w:rFonts w:ascii="Calibri Light" w:hAnsi="Calibri Light"/>
      <w:kern w:val="2"/>
      <w:sz w:val="21"/>
      <w:szCs w:val="28"/>
    </w:rPr>
  </w:style>
  <w:style w:type="character" w:customStyle="1" w:styleId="56">
    <w:name w:val="批注框文本 Char"/>
    <w:link w:val="20"/>
    <w:qFormat/>
    <w:uiPriority w:val="0"/>
    <w:rPr>
      <w:rFonts w:ascii="Calibri" w:hAnsi="Calibri"/>
      <w:kern w:val="2"/>
      <w:sz w:val="18"/>
      <w:szCs w:val="18"/>
    </w:rPr>
  </w:style>
  <w:style w:type="character" w:customStyle="1" w:styleId="57">
    <w:name w:val="四级标题 Char"/>
    <w:link w:val="58"/>
    <w:qFormat/>
    <w:uiPriority w:val="0"/>
    <w:rPr>
      <w:rFonts w:ascii="Calibri Light" w:hAnsi="Calibri Light" w:eastAsia="黑体"/>
      <w:bCs/>
      <w:kern w:val="2"/>
      <w:sz w:val="24"/>
      <w:szCs w:val="28"/>
    </w:rPr>
  </w:style>
  <w:style w:type="paragraph" w:customStyle="1" w:styleId="58">
    <w:name w:val="四级标题"/>
    <w:basedOn w:val="5"/>
    <w:next w:val="1"/>
    <w:link w:val="57"/>
    <w:qFormat/>
    <w:uiPriority w:val="0"/>
    <w:pPr>
      <w:numPr>
        <w:ilvl w:val="3"/>
        <w:numId w:val="3"/>
      </w:numPr>
    </w:pPr>
    <w:rPr>
      <w:rFonts w:eastAsia="黑体"/>
      <w:bCs/>
      <w:sz w:val="24"/>
    </w:rPr>
  </w:style>
  <w:style w:type="character" w:customStyle="1" w:styleId="59">
    <w:name w:val="附录公式 Char"/>
    <w:basedOn w:val="52"/>
    <w:link w:val="60"/>
    <w:uiPriority w:val="0"/>
  </w:style>
  <w:style w:type="paragraph" w:customStyle="1" w:styleId="60">
    <w:name w:val="附录公式"/>
    <w:basedOn w:val="27"/>
    <w:next w:val="27"/>
    <w:link w:val="59"/>
    <w:qFormat/>
    <w:uiPriority w:val="0"/>
  </w:style>
  <w:style w:type="paragraph" w:customStyle="1" w:styleId="61">
    <w:name w:val="正文图标题"/>
    <w:next w:val="27"/>
    <w:uiPriority w:val="0"/>
    <w:pPr>
      <w:numPr>
        <w:ilvl w:val="0"/>
        <w:numId w:val="4"/>
      </w:numPr>
      <w:spacing w:beforeLines="50" w:afterLines="50"/>
      <w:jc w:val="center"/>
    </w:pPr>
    <w:rPr>
      <w:rFonts w:ascii="黑体" w:hAnsi="Times New Roman" w:eastAsia="黑体" w:cs="Times New Roman"/>
      <w:sz w:val="21"/>
      <w:lang w:val="en-US" w:eastAsia="zh-CN" w:bidi="ar-SA"/>
    </w:rPr>
  </w:style>
  <w:style w:type="paragraph" w:customStyle="1" w:styleId="62">
    <w:name w:val="三级条标题"/>
    <w:basedOn w:val="63"/>
    <w:next w:val="27"/>
    <w:uiPriority w:val="0"/>
    <w:pPr>
      <w:numPr>
        <w:ilvl w:val="0"/>
        <w:numId w:val="0"/>
      </w:numPr>
      <w:outlineLvl w:val="4"/>
    </w:pPr>
  </w:style>
  <w:style w:type="paragraph" w:customStyle="1" w:styleId="63">
    <w:name w:val="二级条标题"/>
    <w:basedOn w:val="64"/>
    <w:next w:val="27"/>
    <w:uiPriority w:val="0"/>
    <w:pPr>
      <w:numPr>
        <w:ilvl w:val="2"/>
      </w:numPr>
      <w:spacing w:before="50" w:after="50"/>
      <w:outlineLvl w:val="3"/>
    </w:pPr>
  </w:style>
  <w:style w:type="paragraph" w:customStyle="1" w:styleId="64">
    <w:name w:val="一级条标题"/>
    <w:next w:val="27"/>
    <w:uiPriority w:val="0"/>
    <w:pPr>
      <w:numPr>
        <w:ilvl w:val="1"/>
        <w:numId w:val="5"/>
      </w:numPr>
      <w:spacing w:beforeLines="50" w:afterLines="50"/>
      <w:outlineLvl w:val="2"/>
    </w:pPr>
    <w:rPr>
      <w:rFonts w:ascii="黑体" w:hAnsi="Times New Roman" w:eastAsia="黑体" w:cs="Times New Roman"/>
      <w:sz w:val="21"/>
      <w:szCs w:val="21"/>
      <w:lang w:val="en-US" w:eastAsia="zh-CN" w:bidi="ar-SA"/>
    </w:rPr>
  </w:style>
  <w:style w:type="paragraph" w:customStyle="1" w:styleId="65">
    <w:name w:val="封面标准文稿类别"/>
    <w:basedOn w:val="66"/>
    <w:uiPriority w:val="0"/>
    <w:pPr>
      <w:framePr/>
      <w:spacing w:after="160" w:line="240" w:lineRule="auto"/>
    </w:pPr>
    <w:rPr>
      <w:sz w:val="24"/>
    </w:rPr>
  </w:style>
  <w:style w:type="paragraph" w:customStyle="1" w:styleId="66">
    <w:name w:val="封面一致性程度标识"/>
    <w:basedOn w:val="67"/>
    <w:uiPriority w:val="0"/>
    <w:pPr>
      <w:framePr/>
      <w:spacing w:before="440"/>
    </w:pPr>
    <w:rPr>
      <w:rFonts w:ascii="宋体" w:eastAsia="宋体"/>
    </w:rPr>
  </w:style>
  <w:style w:type="paragraph" w:customStyle="1" w:styleId="67">
    <w:name w:val="封面标准英文名称"/>
    <w:basedOn w:val="68"/>
    <w:uiPriority w:val="0"/>
    <w:pPr>
      <w:framePr/>
      <w:spacing w:before="370" w:line="400" w:lineRule="exact"/>
    </w:pPr>
    <w:rPr>
      <w:rFonts w:ascii="Times New Roman"/>
      <w:sz w:val="28"/>
      <w:szCs w:val="28"/>
    </w:rPr>
  </w:style>
  <w:style w:type="paragraph" w:customStyle="1" w:styleId="68">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其他发布日期"/>
    <w:basedOn w:val="70"/>
    <w:uiPriority w:val="0"/>
    <w:pPr>
      <w:framePr w:vAnchor="page" w:x="1419"/>
    </w:pPr>
  </w:style>
  <w:style w:type="paragraph" w:customStyle="1" w:styleId="70">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1">
    <w:name w:val="封面标准文稿编辑信息"/>
    <w:basedOn w:val="65"/>
    <w:uiPriority w:val="0"/>
    <w:pPr>
      <w:framePr/>
      <w:spacing w:before="180" w:line="180" w:lineRule="exact"/>
    </w:pPr>
    <w:rPr>
      <w:sz w:val="21"/>
    </w:rPr>
  </w:style>
  <w:style w:type="paragraph" w:customStyle="1" w:styleId="72">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3">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4">
    <w:name w:val="封面标准文稿类别2"/>
    <w:basedOn w:val="65"/>
    <w:uiPriority w:val="0"/>
    <w:pPr>
      <w:framePr w:y="4469"/>
    </w:pPr>
  </w:style>
  <w:style w:type="paragraph" w:customStyle="1" w:styleId="75">
    <w:name w:val="附录三级条标题"/>
    <w:basedOn w:val="76"/>
    <w:next w:val="27"/>
    <w:uiPriority w:val="0"/>
    <w:pPr>
      <w:numPr>
        <w:ilvl w:val="4"/>
      </w:numPr>
      <w:tabs>
        <w:tab w:val="left" w:pos="360"/>
      </w:tabs>
      <w:outlineLvl w:val="4"/>
    </w:pPr>
  </w:style>
  <w:style w:type="paragraph" w:customStyle="1" w:styleId="76">
    <w:name w:val="附录二级条标题"/>
    <w:basedOn w:val="1"/>
    <w:next w:val="27"/>
    <w:uiPriority w:val="0"/>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77">
    <w:name w:val="附录一级条标题"/>
    <w:basedOn w:val="78"/>
    <w:next w:val="27"/>
    <w:uiPriority w:val="0"/>
    <w:pPr>
      <w:numPr>
        <w:ilvl w:val="2"/>
      </w:numPr>
      <w:tabs>
        <w:tab w:val="left" w:pos="360"/>
      </w:tabs>
      <w:autoSpaceDN w:val="0"/>
      <w:spacing w:beforeLines="50" w:afterLines="50"/>
      <w:outlineLvl w:val="2"/>
    </w:pPr>
  </w:style>
  <w:style w:type="paragraph" w:customStyle="1" w:styleId="78">
    <w:name w:val="附录章标题"/>
    <w:next w:val="27"/>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正文公式编号制表符"/>
    <w:basedOn w:val="27"/>
    <w:next w:val="27"/>
    <w:qFormat/>
    <w:uiPriority w:val="0"/>
    <w:pPr>
      <w:ind w:firstLine="0" w:firstLineChars="0"/>
    </w:pPr>
  </w:style>
  <w:style w:type="paragraph" w:customStyle="1" w:styleId="80">
    <w:name w:val="附录一级无"/>
    <w:basedOn w:val="77"/>
    <w:uiPriority w:val="0"/>
    <w:pPr>
      <w:tabs>
        <w:tab w:val="clear" w:pos="360"/>
      </w:tabs>
      <w:spacing w:beforeLines="0" w:afterLines="0"/>
    </w:pPr>
    <w:rPr>
      <w:rFonts w:ascii="宋体" w:eastAsia="宋体"/>
      <w:szCs w:val="21"/>
    </w:rPr>
  </w:style>
  <w:style w:type="paragraph" w:customStyle="1" w:styleId="81">
    <w:name w:val="四级无"/>
    <w:basedOn w:val="82"/>
    <w:uiPriority w:val="0"/>
    <w:pPr>
      <w:spacing w:beforeLines="0" w:afterLines="0"/>
    </w:pPr>
    <w:rPr>
      <w:rFonts w:ascii="宋体" w:eastAsia="宋体"/>
    </w:rPr>
  </w:style>
  <w:style w:type="paragraph" w:customStyle="1" w:styleId="82">
    <w:name w:val="四级条标题"/>
    <w:basedOn w:val="62"/>
    <w:next w:val="27"/>
    <w:uiPriority w:val="0"/>
    <w:pPr>
      <w:numPr>
        <w:ilvl w:val="4"/>
        <w:numId w:val="5"/>
      </w:numPr>
      <w:outlineLvl w:val="5"/>
    </w:pPr>
  </w:style>
  <w:style w:type="paragraph" w:customStyle="1" w:styleId="83">
    <w:name w:val="附录标识"/>
    <w:basedOn w:val="1"/>
    <w:next w:val="27"/>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实施日期"/>
    <w:basedOn w:val="70"/>
    <w:uiPriority w:val="0"/>
    <w:pPr>
      <w:framePr w:vAnchor="page"/>
      <w:jc w:val="right"/>
    </w:pPr>
  </w:style>
  <w:style w:type="paragraph" w:customStyle="1" w:styleId="85">
    <w:name w:val="附录四级条标题"/>
    <w:basedOn w:val="75"/>
    <w:next w:val="27"/>
    <w:qFormat/>
    <w:uiPriority w:val="0"/>
    <w:pPr>
      <w:numPr>
        <w:ilvl w:val="5"/>
      </w:numPr>
      <w:outlineLvl w:val="5"/>
    </w:pPr>
  </w:style>
  <w:style w:type="paragraph" w:customStyle="1" w:styleId="86">
    <w:name w:val="前言、引言标题"/>
    <w:next w:val="27"/>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7">
    <w:name w:val="注："/>
    <w:next w:val="27"/>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88">
    <w:name w:val="标准书眉一"/>
    <w:uiPriority w:val="0"/>
    <w:pPr>
      <w:jc w:val="both"/>
    </w:pPr>
    <w:rPr>
      <w:rFonts w:ascii="Times New Roman" w:hAnsi="Times New Roman" w:eastAsia="宋体" w:cs="Times New Roman"/>
      <w:lang w:val="en-US" w:eastAsia="zh-CN" w:bidi="ar-SA"/>
    </w:rPr>
  </w:style>
  <w:style w:type="paragraph" w:customStyle="1" w:styleId="89">
    <w:name w:val="列项◆（三级）"/>
    <w:basedOn w:val="1"/>
    <w:uiPriority w:val="0"/>
    <w:pPr>
      <w:numPr>
        <w:ilvl w:val="2"/>
        <w:numId w:val="8"/>
      </w:numPr>
    </w:pPr>
    <w:rPr>
      <w:rFonts w:ascii="宋体"/>
      <w:szCs w:val="21"/>
    </w:rPr>
  </w:style>
  <w:style w:type="paragraph" w:customStyle="1" w:styleId="90">
    <w:name w:val="附录四级无"/>
    <w:basedOn w:val="85"/>
    <w:uiPriority w:val="0"/>
    <w:pPr>
      <w:tabs>
        <w:tab w:val="clear" w:pos="360"/>
      </w:tabs>
      <w:spacing w:beforeLines="0" w:afterLines="0"/>
    </w:pPr>
    <w:rPr>
      <w:rFonts w:ascii="宋体" w:eastAsia="宋体"/>
      <w:szCs w:val="21"/>
    </w:rPr>
  </w:style>
  <w:style w:type="paragraph" w:customStyle="1" w:styleId="91">
    <w:name w:val="参考文献"/>
    <w:basedOn w:val="1"/>
    <w:next w:val="27"/>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2">
    <w:name w:val="附录图标题"/>
    <w:basedOn w:val="1"/>
    <w:next w:val="27"/>
    <w:uiPriority w:val="0"/>
    <w:pPr>
      <w:numPr>
        <w:ilvl w:val="1"/>
        <w:numId w:val="9"/>
      </w:numPr>
      <w:tabs>
        <w:tab w:val="left" w:pos="363"/>
      </w:tabs>
      <w:spacing w:beforeLines="50" w:afterLines="50"/>
      <w:ind w:left="0" w:firstLine="0"/>
      <w:jc w:val="center"/>
    </w:pPr>
    <w:rPr>
      <w:rFonts w:ascii="黑体" w:eastAsia="黑体"/>
      <w:szCs w:val="21"/>
    </w:rPr>
  </w:style>
  <w:style w:type="paragraph" w:customStyle="1" w:styleId="93">
    <w:name w:val="附录数字编号列项（二级）"/>
    <w:qFormat/>
    <w:uiPriority w:val="0"/>
    <w:pPr>
      <w:numPr>
        <w:ilvl w:val="1"/>
        <w:numId w:val="10"/>
      </w:numPr>
    </w:pPr>
    <w:rPr>
      <w:rFonts w:ascii="宋体" w:hAnsi="Times New Roman" w:eastAsia="宋体" w:cs="Times New Roman"/>
      <w:sz w:val="21"/>
      <w:lang w:val="en-US" w:eastAsia="zh-CN" w:bidi="ar-SA"/>
    </w:rPr>
  </w:style>
  <w:style w:type="paragraph" w:customStyle="1" w:styleId="94">
    <w:name w:val="附录三级无"/>
    <w:basedOn w:val="75"/>
    <w:uiPriority w:val="0"/>
    <w:pPr>
      <w:tabs>
        <w:tab w:val="clear" w:pos="360"/>
      </w:tabs>
      <w:spacing w:beforeLines="0" w:afterLines="0"/>
    </w:pPr>
    <w:rPr>
      <w:rFonts w:ascii="宋体" w:eastAsia="宋体"/>
      <w:szCs w:val="21"/>
    </w:rPr>
  </w:style>
  <w:style w:type="paragraph" w:customStyle="1" w:styleId="95">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Cs w:val="32"/>
    </w:rPr>
  </w:style>
  <w:style w:type="paragraph" w:customStyle="1" w:styleId="96">
    <w:name w:val="发布部门"/>
    <w:next w:val="27"/>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7">
    <w:name w:val="章标题"/>
    <w:next w:val="27"/>
    <w:uiPriority w:val="0"/>
    <w:pPr>
      <w:numPr>
        <w:ilvl w:val="0"/>
        <w:numId w:val="5"/>
      </w:numPr>
      <w:spacing w:beforeLines="100" w:afterLines="100"/>
      <w:jc w:val="both"/>
      <w:outlineLvl w:val="1"/>
    </w:pPr>
    <w:rPr>
      <w:rFonts w:ascii="黑体" w:hAnsi="Times New Roman" w:eastAsia="黑体" w:cs="Times New Roman"/>
      <w:sz w:val="21"/>
      <w:lang w:val="en-US" w:eastAsia="zh-CN" w:bidi="ar-SA"/>
    </w:rPr>
  </w:style>
  <w:style w:type="paragraph" w:customStyle="1" w:styleId="98">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9">
    <w:name w:val="示例×："/>
    <w:basedOn w:val="97"/>
    <w:qFormat/>
    <w:uiPriority w:val="0"/>
    <w:pPr>
      <w:numPr>
        <w:numId w:val="11"/>
      </w:numPr>
      <w:spacing w:beforeLines="0" w:afterLines="0"/>
      <w:outlineLvl w:val="9"/>
    </w:pPr>
    <w:rPr>
      <w:rFonts w:ascii="宋体" w:eastAsia="宋体"/>
      <w:sz w:val="18"/>
      <w:szCs w:val="18"/>
    </w:rPr>
  </w:style>
  <w:style w:type="paragraph" w:customStyle="1" w:styleId="100">
    <w:name w:val="封面标准英文名称2"/>
    <w:basedOn w:val="67"/>
    <w:uiPriority w:val="0"/>
    <w:pPr>
      <w:framePr w:y="4469"/>
    </w:pPr>
  </w:style>
  <w:style w:type="paragraph" w:customStyle="1" w:styleId="101">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102">
    <w:name w:val="示例"/>
    <w:next w:val="103"/>
    <w:uiPriority w:val="0"/>
    <w:pPr>
      <w:widowControl w:val="0"/>
      <w:numPr>
        <w:ilvl w:val="0"/>
        <w:numId w:val="12"/>
      </w:numPr>
      <w:jc w:val="both"/>
    </w:pPr>
    <w:rPr>
      <w:rFonts w:ascii="宋体" w:hAnsi="Times New Roman" w:eastAsia="宋体" w:cs="Times New Roman"/>
      <w:sz w:val="18"/>
      <w:szCs w:val="18"/>
      <w:lang w:val="en-US" w:eastAsia="zh-CN" w:bidi="ar-SA"/>
    </w:rPr>
  </w:style>
  <w:style w:type="paragraph" w:customStyle="1" w:styleId="103">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104">
    <w:name w:val="封面一致性程度标识2"/>
    <w:basedOn w:val="66"/>
    <w:uiPriority w:val="0"/>
    <w:pPr>
      <w:framePr w:y="4469"/>
    </w:pPr>
  </w:style>
  <w:style w:type="paragraph" w:customStyle="1" w:styleId="105">
    <w:name w:val="封面标准文稿编辑信息2"/>
    <w:basedOn w:val="71"/>
    <w:uiPriority w:val="0"/>
    <w:pPr>
      <w:framePr w:y="4469"/>
    </w:pPr>
  </w:style>
  <w:style w:type="paragraph" w:customStyle="1" w:styleId="106">
    <w:name w:val="注×：（正文）"/>
    <w:uiPriority w:val="0"/>
    <w:pPr>
      <w:numPr>
        <w:ilvl w:val="0"/>
        <w:numId w:val="13"/>
      </w:numPr>
      <w:jc w:val="both"/>
    </w:pPr>
    <w:rPr>
      <w:rFonts w:ascii="宋体" w:hAnsi="Times New Roman" w:eastAsia="宋体" w:cs="Times New Roman"/>
      <w:sz w:val="18"/>
      <w:szCs w:val="18"/>
      <w:lang w:val="en-US" w:eastAsia="zh-CN" w:bidi="ar-SA"/>
    </w:rPr>
  </w:style>
  <w:style w:type="paragraph" w:customStyle="1" w:styleId="107">
    <w:name w:val="WPSOffice手动目录 1"/>
    <w:qFormat/>
    <w:uiPriority w:val="0"/>
    <w:rPr>
      <w:rFonts w:ascii="Times New Roman" w:hAnsi="Times New Roman" w:eastAsia="宋体" w:cs="Times New Roman"/>
      <w:lang w:val="en-US" w:eastAsia="zh-CN" w:bidi="ar-SA"/>
    </w:rPr>
  </w:style>
  <w:style w:type="paragraph" w:customStyle="1" w:styleId="108">
    <w:name w:val="标准书眉_偶数页"/>
    <w:basedOn w:val="73"/>
    <w:next w:val="1"/>
    <w:uiPriority w:val="0"/>
    <w:pPr>
      <w:jc w:val="left"/>
    </w:pPr>
  </w:style>
  <w:style w:type="paragraph" w:customStyle="1" w:styleId="109">
    <w:name w:val="正文表标题"/>
    <w:next w:val="27"/>
    <w:uiPriority w:val="0"/>
    <w:pPr>
      <w:numPr>
        <w:ilvl w:val="0"/>
        <w:numId w:val="14"/>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10">
    <w:name w:val="附录图标号"/>
    <w:basedOn w:val="1"/>
    <w:uiPriority w:val="0"/>
    <w:pPr>
      <w:keepNext/>
      <w:pageBreakBefore/>
      <w:widowControl/>
      <w:numPr>
        <w:ilvl w:val="0"/>
        <w:numId w:val="9"/>
      </w:numPr>
      <w:spacing w:line="14" w:lineRule="exact"/>
      <w:ind w:left="0" w:firstLine="363"/>
      <w:jc w:val="center"/>
      <w:outlineLvl w:val="0"/>
    </w:pPr>
    <w:rPr>
      <w:color w:val="FFFFFF"/>
    </w:rPr>
  </w:style>
  <w:style w:type="paragraph" w:customStyle="1" w:styleId="111">
    <w:name w:val="条文脚注"/>
    <w:basedOn w:val="28"/>
    <w:uiPriority w:val="0"/>
    <w:pPr>
      <w:numPr>
        <w:numId w:val="0"/>
      </w:numPr>
      <w:jc w:val="both"/>
    </w:pPr>
  </w:style>
  <w:style w:type="paragraph" w:customStyle="1" w:styleId="112">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13">
    <w:name w:val="附录标题"/>
    <w:basedOn w:val="27"/>
    <w:next w:val="27"/>
    <w:uiPriority w:val="0"/>
    <w:pPr>
      <w:ind w:firstLine="0" w:firstLineChars="0"/>
      <w:jc w:val="center"/>
    </w:pPr>
    <w:rPr>
      <w:rFonts w:ascii="黑体" w:eastAsia="黑体"/>
    </w:rPr>
  </w:style>
  <w:style w:type="paragraph" w:customStyle="1" w:styleId="114">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5">
    <w:name w:val="其他发布部门"/>
    <w:basedOn w:val="96"/>
    <w:uiPriority w:val="0"/>
    <w:pPr>
      <w:framePr w:y="15310"/>
      <w:spacing w:line="0" w:lineRule="atLeast"/>
    </w:pPr>
    <w:rPr>
      <w:rFonts w:ascii="黑体" w:eastAsia="黑体"/>
      <w:b w:val="0"/>
    </w:rPr>
  </w:style>
  <w:style w:type="paragraph" w:customStyle="1" w:styleId="116">
    <w:name w:val="附录字母编号列项（一级）"/>
    <w:qFormat/>
    <w:uiPriority w:val="0"/>
    <w:pPr>
      <w:numPr>
        <w:ilvl w:val="0"/>
        <w:numId w:val="10"/>
      </w:numPr>
    </w:pPr>
    <w:rPr>
      <w:rFonts w:ascii="宋体" w:hAnsi="Times New Roman" w:eastAsia="宋体" w:cs="Times New Roman"/>
      <w:sz w:val="21"/>
      <w:lang w:val="en-US" w:eastAsia="zh-CN" w:bidi="ar-SA"/>
    </w:rPr>
  </w:style>
  <w:style w:type="paragraph" w:customStyle="1" w:styleId="117">
    <w:name w:val="终结线"/>
    <w:basedOn w:val="1"/>
    <w:uiPriority w:val="0"/>
    <w:pPr>
      <w:framePr w:hSpace="181" w:vSpace="181" w:wrap="around" w:vAnchor="text" w:hAnchor="margin" w:xAlign="center" w:y="285"/>
    </w:pPr>
  </w:style>
  <w:style w:type="paragraph" w:customStyle="1" w:styleId="118">
    <w:name w:val="图表脚注说明"/>
    <w:basedOn w:val="1"/>
    <w:uiPriority w:val="0"/>
    <w:pPr>
      <w:numPr>
        <w:ilvl w:val="0"/>
        <w:numId w:val="15"/>
      </w:numPr>
    </w:pPr>
    <w:rPr>
      <w:rFonts w:ascii="宋体"/>
      <w:sz w:val="18"/>
      <w:szCs w:val="18"/>
    </w:rPr>
  </w:style>
  <w:style w:type="paragraph" w:customStyle="1" w:styleId="119">
    <w:name w:val="附录五级无"/>
    <w:basedOn w:val="120"/>
    <w:uiPriority w:val="0"/>
    <w:pPr>
      <w:spacing w:beforeLines="0" w:afterLines="0"/>
    </w:pPr>
    <w:rPr>
      <w:rFonts w:ascii="宋体" w:eastAsia="宋体"/>
      <w:szCs w:val="21"/>
    </w:rPr>
  </w:style>
  <w:style w:type="paragraph" w:customStyle="1" w:styleId="120">
    <w:name w:val="附录五级条标题"/>
    <w:basedOn w:val="85"/>
    <w:next w:val="27"/>
    <w:uiPriority w:val="0"/>
    <w:pPr>
      <w:numPr>
        <w:ilvl w:val="6"/>
      </w:numPr>
      <w:outlineLvl w:val="6"/>
    </w:pPr>
  </w:style>
  <w:style w:type="paragraph" w:customStyle="1" w:styleId="121">
    <w:name w:val="封面正文"/>
    <w:uiPriority w:val="0"/>
    <w:pPr>
      <w:jc w:val="both"/>
    </w:pPr>
    <w:rPr>
      <w:rFonts w:ascii="Times New Roman" w:hAnsi="Times New Roman" w:eastAsia="宋体" w:cs="Times New Roman"/>
      <w:lang w:val="en-US" w:eastAsia="zh-CN" w:bidi="ar-SA"/>
    </w:rPr>
  </w:style>
  <w:style w:type="paragraph" w:customStyle="1" w:styleId="122">
    <w:name w:val="示例后文字"/>
    <w:basedOn w:val="27"/>
    <w:next w:val="27"/>
    <w:qFormat/>
    <w:uiPriority w:val="0"/>
    <w:pPr>
      <w:ind w:firstLine="360"/>
    </w:pPr>
    <w:rPr>
      <w:sz w:val="18"/>
    </w:rPr>
  </w:style>
  <w:style w:type="paragraph" w:customStyle="1" w:styleId="123">
    <w:name w:val="目次、标准名称标题"/>
    <w:basedOn w:val="1"/>
    <w:next w:val="27"/>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24">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三级无"/>
    <w:basedOn w:val="62"/>
    <w:uiPriority w:val="0"/>
    <w:pPr>
      <w:spacing w:beforeLines="0" w:afterLines="0"/>
    </w:pPr>
    <w:rPr>
      <w:rFonts w:ascii="宋体" w:eastAsia="宋体"/>
    </w:rPr>
  </w:style>
  <w:style w:type="paragraph" w:customStyle="1" w:styleId="126">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lang w:val="en-US" w:eastAsia="zh-CN"/>
    </w:rPr>
  </w:style>
  <w:style w:type="paragraph" w:customStyle="1" w:styleId="127">
    <w:name w:val="一级无"/>
    <w:basedOn w:val="64"/>
    <w:uiPriority w:val="0"/>
    <w:pPr>
      <w:spacing w:beforeLines="0" w:afterLines="0"/>
    </w:pPr>
    <w:rPr>
      <w:rFonts w:ascii="宋体" w:eastAsia="宋体"/>
    </w:rPr>
  </w:style>
  <w:style w:type="paragraph" w:styleId="128">
    <w:name w:val="No Spacing"/>
    <w:qFormat/>
    <w:uiPriority w:val="1"/>
    <w:pPr>
      <w:widowControl w:val="0"/>
      <w:jc w:val="both"/>
    </w:pPr>
    <w:rPr>
      <w:rFonts w:ascii="Calibri" w:hAnsi="Calibri" w:eastAsia="黑体" w:cs="Times New Roman"/>
      <w:kern w:val="2"/>
      <w:sz w:val="21"/>
      <w:szCs w:val="22"/>
      <w:lang w:val="en-US" w:eastAsia="zh-CN" w:bidi="ar-SA"/>
    </w:rPr>
  </w:style>
  <w:style w:type="paragraph" w:customStyle="1" w:styleId="129">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30">
    <w:name w:val="列项●（二级）"/>
    <w:uiPriority w:val="0"/>
    <w:pPr>
      <w:numPr>
        <w:ilvl w:val="1"/>
        <w:numId w:val="8"/>
      </w:numPr>
      <w:tabs>
        <w:tab w:val="left" w:pos="840"/>
      </w:tabs>
      <w:jc w:val="both"/>
    </w:pPr>
    <w:rPr>
      <w:rFonts w:ascii="宋体" w:hAnsi="Times New Roman" w:eastAsia="宋体" w:cs="Times New Roman"/>
      <w:sz w:val="21"/>
      <w:lang w:val="en-US" w:eastAsia="zh-CN" w:bidi="ar-SA"/>
    </w:rPr>
  </w:style>
  <w:style w:type="paragraph" w:customStyle="1" w:styleId="131">
    <w:name w:val="五级无"/>
    <w:basedOn w:val="132"/>
    <w:uiPriority w:val="0"/>
    <w:pPr>
      <w:numPr>
        <w:numId w:val="5"/>
      </w:numPr>
      <w:tabs>
        <w:tab w:val="left" w:pos="0"/>
      </w:tabs>
      <w:spacing w:beforeLines="0" w:afterLines="0"/>
    </w:pPr>
    <w:rPr>
      <w:rFonts w:ascii="宋体" w:eastAsia="宋体"/>
    </w:rPr>
  </w:style>
  <w:style w:type="paragraph" w:customStyle="1" w:styleId="132">
    <w:name w:val="五级条标题"/>
    <w:basedOn w:val="82"/>
    <w:next w:val="27"/>
    <w:uiPriority w:val="0"/>
    <w:pPr>
      <w:numPr>
        <w:ilvl w:val="5"/>
        <w:numId w:val="16"/>
      </w:numPr>
      <w:outlineLvl w:val="6"/>
    </w:pPr>
  </w:style>
  <w:style w:type="paragraph" w:customStyle="1" w:styleId="133">
    <w:name w:val="注：（正文）"/>
    <w:basedOn w:val="87"/>
    <w:next w:val="27"/>
    <w:uiPriority w:val="0"/>
    <w:pPr>
      <w:numPr>
        <w:numId w:val="17"/>
      </w:numPr>
    </w:pPr>
  </w:style>
  <w:style w:type="paragraph" w:customStyle="1" w:styleId="134">
    <w:name w:val="数字编号列项（二级）"/>
    <w:uiPriority w:val="0"/>
    <w:pPr>
      <w:numPr>
        <w:ilvl w:val="1"/>
        <w:numId w:val="18"/>
      </w:numPr>
      <w:jc w:val="both"/>
    </w:pPr>
    <w:rPr>
      <w:rFonts w:ascii="宋体" w:hAnsi="Times New Roman" w:eastAsia="宋体" w:cs="Times New Roman"/>
      <w:sz w:val="21"/>
      <w:lang w:val="en-US" w:eastAsia="zh-CN" w:bidi="ar-SA"/>
    </w:rPr>
  </w:style>
  <w:style w:type="paragraph" w:customStyle="1" w:styleId="135">
    <w:name w:val="彩色列表1"/>
    <w:basedOn w:val="1"/>
    <w:qFormat/>
    <w:uiPriority w:val="34"/>
    <w:pPr>
      <w:spacing w:line="360" w:lineRule="auto"/>
      <w:ind w:firstLine="420" w:firstLineChars="200"/>
    </w:pPr>
    <w:rPr>
      <w:rFonts w:ascii="Calibri" w:hAnsi="Calibri"/>
      <w:szCs w:val="22"/>
    </w:rPr>
  </w:style>
  <w:style w:type="paragraph" w:styleId="136">
    <w:name w:val="List Paragraph"/>
    <w:basedOn w:val="1"/>
    <w:qFormat/>
    <w:uiPriority w:val="34"/>
    <w:pPr>
      <w:spacing w:line="400" w:lineRule="exact"/>
      <w:ind w:firstLine="420" w:firstLineChars="200"/>
    </w:pPr>
    <w:rPr>
      <w:rFonts w:ascii="等线" w:hAnsi="等线"/>
      <w:sz w:val="24"/>
      <w:szCs w:val="22"/>
    </w:rPr>
  </w:style>
  <w:style w:type="paragraph" w:customStyle="1" w:styleId="137">
    <w:name w:val="编号列项（三级）"/>
    <w:uiPriority w:val="0"/>
    <w:rPr>
      <w:rFonts w:ascii="宋体" w:hAnsi="Times New Roman" w:eastAsia="宋体" w:cs="Times New Roman"/>
      <w:sz w:val="21"/>
      <w:lang w:val="en-US" w:eastAsia="zh-CN" w:bidi="ar-SA"/>
    </w:rPr>
  </w:style>
  <w:style w:type="paragraph" w:customStyle="1" w:styleId="138">
    <w:name w:val="附录表标题"/>
    <w:basedOn w:val="1"/>
    <w:next w:val="27"/>
    <w:uiPriority w:val="0"/>
    <w:pPr>
      <w:numPr>
        <w:ilvl w:val="1"/>
        <w:numId w:val="19"/>
      </w:numPr>
      <w:tabs>
        <w:tab w:val="left" w:pos="180"/>
      </w:tabs>
      <w:spacing w:beforeLines="50" w:afterLines="50"/>
      <w:ind w:left="0" w:firstLine="0"/>
      <w:jc w:val="center"/>
    </w:pPr>
    <w:rPr>
      <w:rFonts w:ascii="黑体" w:eastAsia="黑体"/>
      <w:szCs w:val="21"/>
    </w:rPr>
  </w:style>
  <w:style w:type="paragraph" w:customStyle="1" w:styleId="139">
    <w:name w:val="其他实施日期"/>
    <w:basedOn w:val="84"/>
    <w:uiPriority w:val="0"/>
    <w:pPr>
      <w:framePr/>
    </w:pPr>
  </w:style>
  <w:style w:type="paragraph" w:customStyle="1" w:styleId="140">
    <w:name w:val="封面标准名称2"/>
    <w:basedOn w:val="68"/>
    <w:uiPriority w:val="0"/>
    <w:pPr>
      <w:framePr w:y="4469"/>
      <w:spacing w:beforeLines="630"/>
    </w:pPr>
  </w:style>
  <w:style w:type="paragraph" w:customStyle="1" w:styleId="141">
    <w:name w:val="图标脚注说明"/>
    <w:basedOn w:val="27"/>
    <w:uiPriority w:val="0"/>
    <w:pPr>
      <w:ind w:left="840" w:hanging="420" w:firstLineChars="0"/>
    </w:pPr>
    <w:rPr>
      <w:sz w:val="18"/>
      <w:szCs w:val="18"/>
    </w:rPr>
  </w:style>
  <w:style w:type="paragraph" w:customStyle="1" w:styleId="142">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3">
    <w:name w:val="TOC 标题2"/>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Cs w:val="32"/>
    </w:rPr>
  </w:style>
  <w:style w:type="paragraph" w:customStyle="1" w:styleId="144">
    <w:name w:val="Table Paragraph"/>
    <w:basedOn w:val="1"/>
    <w:qFormat/>
    <w:uiPriority w:val="1"/>
    <w:pPr>
      <w:spacing w:line="360" w:lineRule="auto"/>
      <w:ind w:firstLine="200" w:firstLineChars="200"/>
    </w:pPr>
    <w:rPr>
      <w:rFonts w:ascii="宋体" w:hAnsi="宋体" w:cs="宋体"/>
      <w:szCs w:val="22"/>
    </w:rPr>
  </w:style>
  <w:style w:type="paragraph" w:customStyle="1" w:styleId="145">
    <w:name w:val="字母编号列项（一级）"/>
    <w:qFormat/>
    <w:uiPriority w:val="0"/>
    <w:pPr>
      <w:numPr>
        <w:ilvl w:val="0"/>
        <w:numId w:val="20"/>
      </w:numPr>
      <w:jc w:val="both"/>
    </w:pPr>
    <w:rPr>
      <w:rFonts w:ascii="宋体" w:hAnsi="Times New Roman" w:eastAsia="宋体" w:cs="Times New Roman"/>
      <w:sz w:val="21"/>
      <w:lang w:val="en-US" w:eastAsia="zh-CN" w:bidi="ar-SA"/>
    </w:rPr>
  </w:style>
  <w:style w:type="paragraph" w:customStyle="1" w:styleId="146">
    <w:name w:val="其他标准标志"/>
    <w:basedOn w:val="114"/>
    <w:uiPriority w:val="0"/>
    <w:pPr>
      <w:framePr w:w="6101" w:vAnchor="page" w:hAnchor="page" w:x="4673" w:y="942"/>
    </w:pPr>
    <w:rPr>
      <w:w w:val="130"/>
    </w:rPr>
  </w:style>
  <w:style w:type="paragraph" w:customStyle="1" w:styleId="147">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48">
    <w:name w:val="参考文献、索引标题"/>
    <w:basedOn w:val="1"/>
    <w:next w:val="27"/>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9">
    <w:name w:val="列项——（一级）"/>
    <w:uiPriority w:val="0"/>
    <w:pPr>
      <w:widowControl w:val="0"/>
      <w:numPr>
        <w:ilvl w:val="0"/>
        <w:numId w:val="8"/>
      </w:numPr>
      <w:jc w:val="both"/>
    </w:pPr>
    <w:rPr>
      <w:rFonts w:ascii="宋体" w:hAnsi="Times New Roman" w:eastAsia="宋体" w:cs="Times New Roman"/>
      <w:sz w:val="21"/>
      <w:lang w:val="en-US" w:eastAsia="zh-CN" w:bidi="ar-SA"/>
    </w:rPr>
  </w:style>
  <w:style w:type="paragraph" w:customStyle="1" w:styleId="150">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51">
    <w:name w:val="二级无"/>
    <w:basedOn w:val="63"/>
    <w:uiPriority w:val="0"/>
    <w:pPr>
      <w:spacing w:beforeLines="0" w:afterLines="0"/>
    </w:pPr>
    <w:rPr>
      <w:rFonts w:ascii="宋体" w:eastAsia="宋体"/>
    </w:rPr>
  </w:style>
  <w:style w:type="paragraph" w:customStyle="1" w:styleId="152">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53">
    <w:name w:val="注×："/>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154">
    <w:name w:val="附录表标号"/>
    <w:basedOn w:val="1"/>
    <w:next w:val="27"/>
    <w:uiPriority w:val="0"/>
    <w:pPr>
      <w:numPr>
        <w:ilvl w:val="0"/>
        <w:numId w:val="19"/>
      </w:numPr>
      <w:tabs>
        <w:tab w:val="clear" w:pos="0"/>
      </w:tabs>
      <w:spacing w:line="14" w:lineRule="exact"/>
      <w:ind w:left="811" w:hanging="448"/>
      <w:jc w:val="center"/>
      <w:outlineLvl w:val="0"/>
    </w:pPr>
    <w:rPr>
      <w:color w:val="FFFFFF"/>
    </w:rPr>
  </w:style>
  <w:style w:type="paragraph" w:customStyle="1" w:styleId="155">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56">
    <w:name w:val="附录二级无"/>
    <w:basedOn w:val="76"/>
    <w:uiPriority w:val="0"/>
    <w:pPr>
      <w:tabs>
        <w:tab w:val="clear" w:pos="360"/>
      </w:tabs>
      <w:spacing w:beforeLines="0" w:afterLines="0"/>
    </w:pPr>
    <w:rPr>
      <w:rFonts w:ascii="宋体" w:eastAsia="宋体"/>
      <w:szCs w:val="21"/>
    </w:rPr>
  </w:style>
  <w:style w:type="paragraph" w:customStyle="1" w:styleId="157">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8" Type="http://schemas.openxmlformats.org/officeDocument/2006/relationships/fontTable" Target="fontTable.xml"/><Relationship Id="rId47" Type="http://schemas.microsoft.com/office/2006/relationships/keyMapCustomizations" Target="customizations.xml"/><Relationship Id="rId46" Type="http://schemas.openxmlformats.org/officeDocument/2006/relationships/customXml" Target="../customXml/item2.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19.emf"/><Relationship Id="rId42" Type="http://schemas.openxmlformats.org/officeDocument/2006/relationships/image" Target="media/image18.emf"/><Relationship Id="rId41" Type="http://schemas.openxmlformats.org/officeDocument/2006/relationships/image" Target="media/image17.emf"/><Relationship Id="rId40" Type="http://schemas.openxmlformats.org/officeDocument/2006/relationships/oleObject" Target="embeddings/oleObject17.bin"/><Relationship Id="rId4" Type="http://schemas.openxmlformats.org/officeDocument/2006/relationships/footer" Target="footer1.xml"/><Relationship Id="rId39" Type="http://schemas.openxmlformats.org/officeDocument/2006/relationships/image" Target="media/image16.emf"/><Relationship Id="rId38" Type="http://schemas.openxmlformats.org/officeDocument/2006/relationships/oleObject" Target="embeddings/oleObject16.bin"/><Relationship Id="rId37" Type="http://schemas.openxmlformats.org/officeDocument/2006/relationships/image" Target="media/image15.emf"/><Relationship Id="rId36" Type="http://schemas.openxmlformats.org/officeDocument/2006/relationships/oleObject" Target="embeddings/oleObject15.bin"/><Relationship Id="rId35" Type="http://schemas.openxmlformats.org/officeDocument/2006/relationships/image" Target="media/image14.png"/><Relationship Id="rId34" Type="http://schemas.openxmlformats.org/officeDocument/2006/relationships/oleObject" Target="embeddings/oleObject14.bin"/><Relationship Id="rId33" Type="http://schemas.openxmlformats.org/officeDocument/2006/relationships/image" Target="media/image13.wmf"/><Relationship Id="rId32" Type="http://schemas.openxmlformats.org/officeDocument/2006/relationships/oleObject" Target="embeddings/oleObject13.bin"/><Relationship Id="rId31" Type="http://schemas.openxmlformats.org/officeDocument/2006/relationships/image" Target="media/image12.wmf"/><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image" Target="media/image11.wmf"/><Relationship Id="rId28" Type="http://schemas.openxmlformats.org/officeDocument/2006/relationships/oleObject" Target="embeddings/oleObject11.bin"/><Relationship Id="rId27" Type="http://schemas.openxmlformats.org/officeDocument/2006/relationships/image" Target="media/image10.wmf"/><Relationship Id="rId26" Type="http://schemas.openxmlformats.org/officeDocument/2006/relationships/oleObject" Target="embeddings/oleObject10.bin"/><Relationship Id="rId25" Type="http://schemas.openxmlformats.org/officeDocument/2006/relationships/image" Target="media/image9.wmf"/><Relationship Id="rId24" Type="http://schemas.openxmlformats.org/officeDocument/2006/relationships/oleObject" Target="embeddings/oleObject9.bin"/><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9"/>
    <customShpInfo spid="_x0000_s1036"/>
    <customShpInfo spid="_x0000_s1038"/>
    <customShpInfo spid="_x0000_s1037"/>
    <customShpInfo spid="_x0000_s1034"/>
    <customShpInfo spid="_x0000_s1035"/>
    <customShpInfo spid="_x0000_s1045"/>
    <customShpInfo spid="_x0000_s1046"/>
    <customShpInfo spid="_x0000_s1048"/>
    <customShpInfo spid="_x0000_s1050"/>
    <customShpInfo spid="_x0000_s1047"/>
    <customShpInfo spid="_x0000_s104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F0CA5D-987D-485E-AE78-82115CF06245}">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31</Pages>
  <Words>4339</Words>
  <Characters>24736</Characters>
  <Lines>206</Lines>
  <Paragraphs>58</Paragraphs>
  <TotalTime>1</TotalTime>
  <ScaleCrop>false</ScaleCrop>
  <LinksUpToDate>false</LinksUpToDate>
  <CharactersWithSpaces>29017</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2019-09-03T07:10:00Z</dcterms:created>
  <dc:creator>Windows 用户</dc:creator>
  <cp:lastModifiedBy>Mr Jiang</cp:lastModifiedBy>
  <cp:lastPrinted>2019-09-04T00:44:49Z</cp:lastPrinted>
  <dcterms:modified xsi:type="dcterms:W3CDTF">2019-09-04T00:47:41Z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